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7E370">
      <w:pPr>
        <w:autoSpaceDE w:val="0"/>
        <w:autoSpaceDN w:val="0"/>
        <w:spacing w:line="500" w:lineRule="atLeast"/>
        <w:jc w:val="center"/>
        <w:textAlignment w:val="bottom"/>
        <w:outlineLvl w:val="0"/>
        <w:rPr>
          <w:rFonts w:ascii="宋体" w:hAnsi="宋体" w:cs="Courier New"/>
          <w:b/>
          <w:bCs/>
          <w:color w:val="auto"/>
          <w:spacing w:val="120"/>
          <w:sz w:val="72"/>
          <w:szCs w:val="72"/>
          <w:highlight w:val="none"/>
        </w:rPr>
      </w:pPr>
      <w:bookmarkStart w:id="70" w:name="_GoBack"/>
      <w:bookmarkEnd w:id="70"/>
      <w:r>
        <w:rPr>
          <w:rFonts w:hint="eastAsia" w:ascii="宋体" w:hAnsi="宋体" w:cs="Courier New"/>
          <w:b/>
          <w:bCs/>
          <w:color w:val="auto"/>
          <w:spacing w:val="120"/>
          <w:sz w:val="72"/>
          <w:szCs w:val="72"/>
          <w:highlight w:val="none"/>
        </w:rPr>
        <w:t>泰顺县</w:t>
      </w:r>
      <w:r>
        <w:rPr>
          <w:rFonts w:ascii="宋体" w:hAnsi="宋体" w:cs="Courier New"/>
          <w:b/>
          <w:bCs/>
          <w:color w:val="auto"/>
          <w:spacing w:val="120"/>
          <w:sz w:val="72"/>
          <w:szCs w:val="72"/>
          <w:highlight w:val="none"/>
        </w:rPr>
        <w:t>政府采购</w:t>
      </w:r>
    </w:p>
    <w:p w14:paraId="61F356A7">
      <w:pPr>
        <w:autoSpaceDE w:val="0"/>
        <w:autoSpaceDN w:val="0"/>
        <w:spacing w:line="500" w:lineRule="atLeast"/>
        <w:textAlignment w:val="bottom"/>
        <w:rPr>
          <w:rFonts w:ascii="宋体" w:hAnsi="宋体" w:cs="Courier New"/>
          <w:b/>
          <w:bCs/>
          <w:color w:val="auto"/>
          <w:sz w:val="72"/>
          <w:szCs w:val="72"/>
          <w:highlight w:val="none"/>
        </w:rPr>
      </w:pPr>
    </w:p>
    <w:p w14:paraId="13462FDD">
      <w:pPr>
        <w:autoSpaceDE w:val="0"/>
        <w:autoSpaceDN w:val="0"/>
        <w:spacing w:line="500" w:lineRule="atLeast"/>
        <w:ind w:firstLine="419" w:firstLineChars="58"/>
        <w:jc w:val="center"/>
        <w:textAlignment w:val="bottom"/>
        <w:outlineLvl w:val="0"/>
        <w:rPr>
          <w:rFonts w:ascii="宋体" w:hAnsi="宋体" w:cs="Courier New"/>
          <w:b/>
          <w:color w:val="auto"/>
          <w:sz w:val="72"/>
          <w:szCs w:val="72"/>
          <w:highlight w:val="none"/>
        </w:rPr>
      </w:pPr>
      <w:r>
        <w:rPr>
          <w:rFonts w:hint="eastAsia" w:ascii="宋体" w:hAnsi="宋体" w:cs="Courier New"/>
          <w:b/>
          <w:bCs/>
          <w:color w:val="auto"/>
          <w:sz w:val="72"/>
          <w:szCs w:val="72"/>
          <w:highlight w:val="none"/>
        </w:rPr>
        <w:t xml:space="preserve">招标文件 </w:t>
      </w:r>
    </w:p>
    <w:p w14:paraId="39E44127">
      <w:pPr>
        <w:spacing w:line="400" w:lineRule="atLeast"/>
        <w:jc w:val="center"/>
        <w:rPr>
          <w:rFonts w:ascii="宋体" w:hAnsi="宋体"/>
          <w:color w:val="auto"/>
          <w:sz w:val="32"/>
          <w:highlight w:val="none"/>
        </w:rPr>
      </w:pPr>
    </w:p>
    <w:p w14:paraId="3B0505F8">
      <w:pPr>
        <w:tabs>
          <w:tab w:val="left" w:pos="4860"/>
        </w:tabs>
        <w:spacing w:line="600" w:lineRule="exact"/>
        <w:ind w:right="1143"/>
        <w:jc w:val="left"/>
        <w:rPr>
          <w:rFonts w:ascii="宋体" w:hAnsi="宋体"/>
          <w:color w:val="auto"/>
          <w:spacing w:val="40"/>
          <w:sz w:val="30"/>
          <w:szCs w:val="30"/>
          <w:highlight w:val="none"/>
        </w:rPr>
      </w:pPr>
    </w:p>
    <w:p w14:paraId="0214639E">
      <w:pPr>
        <w:tabs>
          <w:tab w:val="left" w:pos="4860"/>
        </w:tabs>
        <w:spacing w:line="600" w:lineRule="exact"/>
        <w:ind w:right="1143"/>
        <w:jc w:val="left"/>
        <w:rPr>
          <w:rFonts w:ascii="宋体" w:hAnsi="宋体"/>
          <w:color w:val="auto"/>
          <w:spacing w:val="40"/>
          <w:sz w:val="30"/>
          <w:szCs w:val="3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42C8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66527BE1">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项目编号</w:t>
            </w:r>
          </w:p>
        </w:tc>
        <w:tc>
          <w:tcPr>
            <w:tcW w:w="5396" w:type="dxa"/>
            <w:vAlign w:val="center"/>
          </w:tcPr>
          <w:p w14:paraId="147FD628">
            <w:pPr>
              <w:adjustRightInd w:val="0"/>
              <w:snapToGrid w:val="0"/>
              <w:spacing w:line="440" w:lineRule="exact"/>
              <w:jc w:val="left"/>
              <w:rPr>
                <w:rFonts w:hint="eastAsia" w:ascii="宋体" w:hAnsi="宋体" w:eastAsia="宋体"/>
                <w:b/>
                <w:bCs/>
                <w:color w:val="auto"/>
                <w:spacing w:val="-20"/>
                <w:sz w:val="30"/>
                <w:szCs w:val="30"/>
                <w:highlight w:val="none"/>
                <w:lang w:eastAsia="zh-CN"/>
              </w:rPr>
            </w:pPr>
            <w:r>
              <w:rPr>
                <w:rFonts w:hint="eastAsia" w:ascii="宋体" w:hAnsi="宋体" w:eastAsia="宋体"/>
                <w:b/>
                <w:bCs/>
                <w:color w:val="auto"/>
                <w:spacing w:val="-20"/>
                <w:sz w:val="30"/>
                <w:szCs w:val="30"/>
                <w:highlight w:val="none"/>
                <w:lang w:eastAsia="zh-CN"/>
              </w:rPr>
              <w:t>TSCG202511029</w:t>
            </w:r>
          </w:p>
        </w:tc>
      </w:tr>
      <w:tr w14:paraId="7AA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A2B4ADB">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招标项目</w:t>
            </w:r>
          </w:p>
        </w:tc>
        <w:tc>
          <w:tcPr>
            <w:tcW w:w="5396" w:type="dxa"/>
            <w:vAlign w:val="center"/>
          </w:tcPr>
          <w:p w14:paraId="6C6425CB">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泰顺县2025-2026年度国土变更调查项目</w:t>
            </w:r>
          </w:p>
        </w:tc>
      </w:tr>
      <w:tr w14:paraId="3792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3BBEC72">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招标方式</w:t>
            </w:r>
          </w:p>
        </w:tc>
        <w:tc>
          <w:tcPr>
            <w:tcW w:w="5396" w:type="dxa"/>
            <w:vAlign w:val="center"/>
          </w:tcPr>
          <w:p w14:paraId="4D618238">
            <w:pPr>
              <w:adjustRightInd w:val="0"/>
              <w:snapToGrid w:val="0"/>
              <w:spacing w:line="440" w:lineRule="exact"/>
              <w:jc w:val="left"/>
              <w:rPr>
                <w:rFonts w:ascii="宋体" w:hAnsi="宋体"/>
                <w:b/>
                <w:bCs/>
                <w:color w:val="auto"/>
                <w:sz w:val="30"/>
                <w:szCs w:val="30"/>
                <w:highlight w:val="none"/>
              </w:rPr>
            </w:pPr>
            <w:r>
              <w:rPr>
                <w:rFonts w:hint="eastAsia" w:ascii="宋体" w:hAnsi="宋体"/>
                <w:b/>
                <w:bCs/>
                <w:color w:val="auto"/>
                <w:sz w:val="30"/>
                <w:szCs w:val="30"/>
                <w:highlight w:val="none"/>
              </w:rPr>
              <w:t>竞争性磋商</w:t>
            </w:r>
          </w:p>
        </w:tc>
      </w:tr>
      <w:tr w14:paraId="7145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78264CD">
            <w:pPr>
              <w:adjustRightInd w:val="0"/>
              <w:snapToGrid w:val="0"/>
              <w:spacing w:line="440" w:lineRule="exact"/>
              <w:jc w:val="left"/>
              <w:rPr>
                <w:rFonts w:ascii="宋体" w:hAnsi="宋体" w:eastAsia="宋体"/>
                <w:b/>
                <w:bCs/>
                <w:color w:val="auto"/>
                <w:spacing w:val="40"/>
                <w:sz w:val="30"/>
                <w:szCs w:val="30"/>
                <w:highlight w:val="none"/>
              </w:rPr>
            </w:pPr>
            <w:r>
              <w:rPr>
                <w:rFonts w:ascii="宋体" w:hAnsi="宋体"/>
                <w:b/>
                <w:bCs/>
                <w:color w:val="auto"/>
                <w:spacing w:val="40"/>
                <w:sz w:val="30"/>
                <w:szCs w:val="30"/>
                <w:highlight w:val="none"/>
              </w:rPr>
              <w:t>采购单位</w:t>
            </w:r>
          </w:p>
        </w:tc>
        <w:tc>
          <w:tcPr>
            <w:tcW w:w="5396" w:type="dxa"/>
            <w:vAlign w:val="center"/>
          </w:tcPr>
          <w:p w14:paraId="748A06DC">
            <w:pPr>
              <w:adjustRightInd w:val="0"/>
              <w:snapToGrid w:val="0"/>
              <w:spacing w:line="440" w:lineRule="exact"/>
              <w:jc w:val="left"/>
              <w:rPr>
                <w:rFonts w:hint="eastAsia" w:ascii="宋体" w:hAnsi="宋体" w:eastAsiaTheme="minorEastAsia"/>
                <w:b/>
                <w:bCs/>
                <w:color w:val="auto"/>
                <w:sz w:val="30"/>
                <w:szCs w:val="30"/>
                <w:highlight w:val="none"/>
                <w:lang w:eastAsia="zh-CN"/>
              </w:rPr>
            </w:pPr>
            <w:r>
              <w:rPr>
                <w:rFonts w:hint="default" w:ascii="宋体" w:hAnsi="宋体"/>
                <w:b/>
                <w:bCs/>
                <w:color w:val="auto"/>
                <w:sz w:val="30"/>
                <w:szCs w:val="30"/>
                <w:highlight w:val="none"/>
                <w:lang w:val="en-US"/>
              </w:rPr>
              <w:t>泰顺县自然资源和规划局</w:t>
            </w:r>
          </w:p>
        </w:tc>
      </w:tr>
      <w:tr w14:paraId="1809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79C24BC">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招标代理机构</w:t>
            </w:r>
          </w:p>
        </w:tc>
        <w:tc>
          <w:tcPr>
            <w:tcW w:w="5396" w:type="dxa"/>
            <w:vAlign w:val="center"/>
          </w:tcPr>
          <w:p w14:paraId="6CBB351C">
            <w:pPr>
              <w:adjustRightInd w:val="0"/>
              <w:snapToGrid w:val="0"/>
              <w:spacing w:line="440" w:lineRule="exact"/>
              <w:jc w:val="left"/>
              <w:rPr>
                <w:rFonts w:ascii="宋体" w:hAnsi="宋体" w:eastAsia="宋体"/>
                <w:b/>
                <w:bCs/>
                <w:color w:val="auto"/>
                <w:sz w:val="30"/>
                <w:szCs w:val="30"/>
                <w:highlight w:val="none"/>
              </w:rPr>
            </w:pPr>
            <w:r>
              <w:rPr>
                <w:rFonts w:hint="eastAsia" w:ascii="宋体" w:hAnsi="宋体"/>
                <w:b/>
                <w:bCs/>
                <w:color w:val="auto"/>
                <w:sz w:val="30"/>
                <w:szCs w:val="30"/>
                <w:highlight w:val="none"/>
              </w:rPr>
              <w:t>温州久恒工程项目管理有限公司</w:t>
            </w:r>
          </w:p>
        </w:tc>
      </w:tr>
      <w:tr w14:paraId="3D58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181C6F5">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监督及备案机构</w:t>
            </w:r>
          </w:p>
        </w:tc>
        <w:tc>
          <w:tcPr>
            <w:tcW w:w="5396" w:type="dxa"/>
            <w:vAlign w:val="center"/>
          </w:tcPr>
          <w:p w14:paraId="212ED264">
            <w:pPr>
              <w:adjustRightInd w:val="0"/>
              <w:snapToGrid w:val="0"/>
              <w:spacing w:line="440" w:lineRule="exact"/>
              <w:jc w:val="left"/>
              <w:rPr>
                <w:rFonts w:ascii="宋体" w:hAnsi="宋体"/>
                <w:b/>
                <w:bCs/>
                <w:color w:val="auto"/>
                <w:sz w:val="30"/>
                <w:szCs w:val="30"/>
                <w:highlight w:val="none"/>
              </w:rPr>
            </w:pPr>
            <w:r>
              <w:rPr>
                <w:rFonts w:ascii="宋体" w:hAnsi="宋体"/>
                <w:b/>
                <w:bCs/>
                <w:color w:val="auto"/>
                <w:sz w:val="30"/>
                <w:szCs w:val="30"/>
                <w:highlight w:val="none"/>
              </w:rPr>
              <w:t>泰顺县财政局</w:t>
            </w:r>
          </w:p>
        </w:tc>
      </w:tr>
    </w:tbl>
    <w:p w14:paraId="0A9B3007">
      <w:pPr>
        <w:jc w:val="center"/>
        <w:rPr>
          <w:rFonts w:ascii="宋体" w:hAnsi="宋体"/>
          <w:bCs/>
          <w:color w:val="auto"/>
          <w:sz w:val="24"/>
          <w:highlight w:val="none"/>
        </w:rPr>
      </w:pPr>
    </w:p>
    <w:p w14:paraId="4CF0CF6E">
      <w:pPr>
        <w:jc w:val="center"/>
        <w:rPr>
          <w:rFonts w:ascii="宋体" w:hAnsi="宋体"/>
          <w:bCs/>
          <w:color w:val="auto"/>
          <w:sz w:val="24"/>
          <w:highlight w:val="none"/>
        </w:rPr>
      </w:pPr>
    </w:p>
    <w:p w14:paraId="12FCF0E6">
      <w:pPr>
        <w:spacing w:line="400" w:lineRule="exact"/>
        <w:jc w:val="center"/>
        <w:outlineLvl w:val="0"/>
        <w:rPr>
          <w:rFonts w:ascii="楷体" w:hAnsi="楷体" w:eastAsia="楷体" w:cs="楷体"/>
          <w:bCs/>
          <w:color w:val="auto"/>
          <w:sz w:val="44"/>
          <w:szCs w:val="44"/>
          <w:highlight w:val="none"/>
        </w:rPr>
      </w:pPr>
      <w:r>
        <w:rPr>
          <w:rFonts w:ascii="宋体" w:hAnsi="宋体"/>
          <w:b/>
          <w:bCs/>
          <w:color w:val="auto"/>
          <w:spacing w:val="40"/>
          <w:sz w:val="30"/>
          <w:szCs w:val="30"/>
          <w:highlight w:val="none"/>
        </w:rPr>
        <w:t>二〇二</w:t>
      </w:r>
      <w:r>
        <w:rPr>
          <w:rFonts w:hint="eastAsia" w:ascii="宋体" w:hAnsi="宋体"/>
          <w:b/>
          <w:bCs/>
          <w:color w:val="auto"/>
          <w:spacing w:val="40"/>
          <w:sz w:val="30"/>
          <w:szCs w:val="30"/>
          <w:highlight w:val="none"/>
          <w:lang w:val="en-US" w:eastAsia="zh-CN"/>
        </w:rPr>
        <w:t>五</w:t>
      </w:r>
      <w:r>
        <w:rPr>
          <w:rFonts w:ascii="宋体" w:hAnsi="宋体"/>
          <w:b/>
          <w:bCs/>
          <w:color w:val="auto"/>
          <w:spacing w:val="40"/>
          <w:sz w:val="30"/>
          <w:szCs w:val="30"/>
          <w:highlight w:val="none"/>
        </w:rPr>
        <w:t>年</w:t>
      </w:r>
      <w:r>
        <w:rPr>
          <w:rFonts w:hint="eastAsia" w:ascii="宋体" w:hAnsi="宋体"/>
          <w:b/>
          <w:bCs/>
          <w:color w:val="auto"/>
          <w:spacing w:val="40"/>
          <w:sz w:val="30"/>
          <w:szCs w:val="30"/>
          <w:highlight w:val="none"/>
          <w:lang w:val="en-US" w:eastAsia="zh-CN"/>
        </w:rPr>
        <w:t>十二</w:t>
      </w:r>
      <w:r>
        <w:rPr>
          <w:rFonts w:hint="eastAsia" w:ascii="宋体" w:hAnsi="宋体"/>
          <w:b/>
          <w:bCs/>
          <w:color w:val="auto"/>
          <w:spacing w:val="40"/>
          <w:sz w:val="30"/>
          <w:szCs w:val="30"/>
          <w:highlight w:val="none"/>
        </w:rPr>
        <w:t>月</w:t>
      </w:r>
    </w:p>
    <w:p w14:paraId="26CF7F2A">
      <w:pPr>
        <w:spacing w:line="400" w:lineRule="exact"/>
        <w:jc w:val="center"/>
        <w:rPr>
          <w:rFonts w:ascii="楷体" w:hAnsi="楷体" w:eastAsia="楷体" w:cs="楷体"/>
          <w:bCs/>
          <w:color w:val="auto"/>
          <w:sz w:val="44"/>
          <w:szCs w:val="44"/>
          <w:highlight w:val="none"/>
        </w:rPr>
      </w:pPr>
    </w:p>
    <w:p w14:paraId="046C4AB0">
      <w:pPr>
        <w:spacing w:line="400" w:lineRule="exact"/>
        <w:jc w:val="center"/>
        <w:rPr>
          <w:rFonts w:ascii="楷体" w:hAnsi="楷体" w:eastAsia="楷体" w:cs="楷体"/>
          <w:bCs/>
          <w:color w:val="auto"/>
          <w:sz w:val="44"/>
          <w:szCs w:val="44"/>
          <w:highlight w:val="none"/>
        </w:rPr>
      </w:pPr>
    </w:p>
    <w:p w14:paraId="2C861A02">
      <w:pPr>
        <w:spacing w:line="400" w:lineRule="exact"/>
        <w:jc w:val="center"/>
        <w:rPr>
          <w:rFonts w:ascii="楷体" w:hAnsi="楷体" w:eastAsia="楷体" w:cs="楷体"/>
          <w:bCs/>
          <w:color w:val="auto"/>
          <w:sz w:val="44"/>
          <w:szCs w:val="44"/>
          <w:highlight w:val="none"/>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46A96995">
      <w:pPr>
        <w:spacing w:line="400" w:lineRule="exact"/>
        <w:jc w:val="center"/>
        <w:rPr>
          <w:rFonts w:ascii="楷体" w:hAnsi="楷体" w:eastAsia="楷体" w:cs="楷体"/>
          <w:bCs/>
          <w:color w:val="auto"/>
          <w:sz w:val="44"/>
          <w:szCs w:val="44"/>
          <w:highlight w:val="none"/>
        </w:rPr>
      </w:pPr>
    </w:p>
    <w:p w14:paraId="560A1556">
      <w:pPr>
        <w:spacing w:line="400" w:lineRule="exact"/>
        <w:jc w:val="center"/>
        <w:outlineLvl w:val="0"/>
        <w:rPr>
          <w:rFonts w:ascii="楷体" w:hAnsi="楷体" w:eastAsia="楷体" w:cs="楷体"/>
          <w:bCs/>
          <w:color w:val="auto"/>
          <w:sz w:val="44"/>
          <w:szCs w:val="44"/>
          <w:highlight w:val="none"/>
        </w:rPr>
      </w:pPr>
      <w:r>
        <w:rPr>
          <w:rFonts w:hint="eastAsia" w:ascii="楷体" w:hAnsi="楷体" w:eastAsia="楷体" w:cs="楷体"/>
          <w:bCs/>
          <w:color w:val="auto"/>
          <w:sz w:val="44"/>
          <w:szCs w:val="44"/>
          <w:highlight w:val="none"/>
        </w:rPr>
        <w:t>招标文件目录</w:t>
      </w:r>
    </w:p>
    <w:p w14:paraId="4586B66C">
      <w:pPr>
        <w:pStyle w:val="24"/>
        <w:tabs>
          <w:tab w:val="right" w:leader="dot" w:pos="9628"/>
        </w:tabs>
        <w:spacing w:line="360" w:lineRule="auto"/>
        <w:ind w:left="840" w:firstLine="420"/>
        <w:rPr>
          <w:color w:val="auto"/>
          <w:sz w:val="28"/>
          <w:szCs w:val="28"/>
          <w:highlight w:val="none"/>
        </w:rPr>
      </w:pPr>
    </w:p>
    <w:p w14:paraId="4CB9BCD3">
      <w:pPr>
        <w:pStyle w:val="24"/>
        <w:tabs>
          <w:tab w:val="right" w:leader="dot" w:pos="9628"/>
        </w:tabs>
        <w:spacing w:line="360" w:lineRule="auto"/>
        <w:ind w:left="840" w:firstLine="420"/>
        <w:rPr>
          <w:rFonts w:ascii="楷体" w:hAnsi="楷体" w:eastAsia="楷体" w:cs="楷体"/>
          <w:bCs w:val="0"/>
          <w:color w:val="auto"/>
          <w:sz w:val="28"/>
          <w:szCs w:val="28"/>
          <w:highlight w:val="none"/>
        </w:rPr>
      </w:pPr>
    </w:p>
    <w:p w14:paraId="4A1D9EA9">
      <w:pPr>
        <w:pStyle w:val="24"/>
        <w:tabs>
          <w:tab w:val="right" w:leader="dot" w:pos="9628"/>
        </w:tabs>
        <w:spacing w:line="480" w:lineRule="auto"/>
        <w:ind w:left="839" w:firstLine="420"/>
        <w:rPr>
          <w:rFonts w:ascii="楷体" w:hAnsi="楷体" w:eastAsia="楷体" w:cs="楷体"/>
          <w:bCs w:val="0"/>
          <w:color w:val="auto"/>
          <w:sz w:val="28"/>
          <w:szCs w:val="28"/>
          <w:highlight w:val="none"/>
        </w:rPr>
      </w:pPr>
    </w:p>
    <w:p w14:paraId="6C2A497E">
      <w:pPr>
        <w:pStyle w:val="24"/>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第一部分、投标邀请函（投标须知前附表）</w:t>
      </w:r>
    </w:p>
    <w:p w14:paraId="6582BA1B">
      <w:pPr>
        <w:pStyle w:val="24"/>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第二部分、招标内容</w:t>
      </w:r>
    </w:p>
    <w:p w14:paraId="1BF3EF88">
      <w:pPr>
        <w:pStyle w:val="24"/>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第三部分、供应商须知</w:t>
      </w:r>
    </w:p>
    <w:p w14:paraId="3D6C0B89">
      <w:pPr>
        <w:pStyle w:val="24"/>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第四部分、政府采购政策功能相关说明</w:t>
      </w:r>
    </w:p>
    <w:p w14:paraId="68D9CF8D">
      <w:pPr>
        <w:pStyle w:val="24"/>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第五部分、合同格式</w:t>
      </w:r>
    </w:p>
    <w:p w14:paraId="04B7E858">
      <w:pPr>
        <w:pStyle w:val="24"/>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第六部分、附件：投标文件格式</w:t>
      </w:r>
    </w:p>
    <w:p w14:paraId="634C6341">
      <w:pPr>
        <w:pStyle w:val="24"/>
        <w:tabs>
          <w:tab w:val="right" w:leader="dot" w:pos="9628"/>
        </w:tabs>
        <w:spacing w:line="480" w:lineRule="auto"/>
        <w:ind w:left="839" w:firstLine="420"/>
        <w:outlineLvl w:val="0"/>
        <w:rPr>
          <w:rFonts w:ascii="楷体" w:hAnsi="楷体" w:eastAsia="楷体" w:cs="楷体"/>
          <w:bCs w:val="0"/>
          <w:color w:val="auto"/>
          <w:sz w:val="28"/>
          <w:szCs w:val="28"/>
          <w:highlight w:val="none"/>
        </w:rPr>
      </w:pPr>
      <w:r>
        <w:rPr>
          <w:rFonts w:hint="eastAsia" w:ascii="楷体" w:hAnsi="楷体" w:eastAsia="楷体" w:cs="楷体"/>
          <w:b w:val="0"/>
          <w:color w:val="auto"/>
          <w:sz w:val="28"/>
          <w:szCs w:val="28"/>
          <w:highlight w:val="none"/>
        </w:rPr>
        <w:t>第七部分、评标办法</w:t>
      </w:r>
    </w:p>
    <w:p w14:paraId="183A0D40">
      <w:pPr>
        <w:spacing w:line="400" w:lineRule="exact"/>
        <w:jc w:val="center"/>
        <w:rPr>
          <w:rFonts w:ascii="宋体" w:hAnsi="宋体"/>
          <w:b/>
          <w:bCs/>
          <w:color w:val="auto"/>
          <w:sz w:val="32"/>
          <w:szCs w:val="32"/>
          <w:highlight w:val="none"/>
        </w:rPr>
      </w:pPr>
    </w:p>
    <w:p w14:paraId="1A0C603E">
      <w:pPr>
        <w:spacing w:line="400" w:lineRule="exact"/>
        <w:jc w:val="center"/>
        <w:rPr>
          <w:rFonts w:ascii="宋体" w:hAnsi="宋体"/>
          <w:b/>
          <w:bCs/>
          <w:color w:val="auto"/>
          <w:sz w:val="32"/>
          <w:szCs w:val="32"/>
          <w:highlight w:val="none"/>
        </w:rPr>
      </w:pPr>
    </w:p>
    <w:p w14:paraId="0F57A8E8">
      <w:pPr>
        <w:spacing w:line="400" w:lineRule="exact"/>
        <w:jc w:val="center"/>
        <w:rPr>
          <w:rFonts w:ascii="宋体" w:hAnsi="宋体"/>
          <w:b/>
          <w:bCs/>
          <w:color w:val="auto"/>
          <w:sz w:val="32"/>
          <w:szCs w:val="32"/>
          <w:highlight w:val="none"/>
        </w:rPr>
      </w:pPr>
    </w:p>
    <w:p w14:paraId="135083D9">
      <w:pPr>
        <w:spacing w:line="400" w:lineRule="exact"/>
        <w:jc w:val="center"/>
        <w:rPr>
          <w:rFonts w:ascii="宋体" w:hAnsi="宋体"/>
          <w:b/>
          <w:bCs/>
          <w:color w:val="auto"/>
          <w:sz w:val="32"/>
          <w:szCs w:val="32"/>
          <w:highlight w:val="none"/>
        </w:rPr>
      </w:pPr>
    </w:p>
    <w:p w14:paraId="6A9B07D3">
      <w:pPr>
        <w:spacing w:line="400" w:lineRule="exact"/>
        <w:jc w:val="center"/>
        <w:rPr>
          <w:rFonts w:ascii="宋体" w:hAnsi="宋体"/>
          <w:b/>
          <w:bCs/>
          <w:color w:val="auto"/>
          <w:sz w:val="32"/>
          <w:szCs w:val="32"/>
          <w:highlight w:val="none"/>
        </w:rPr>
      </w:pPr>
    </w:p>
    <w:p w14:paraId="249F3C1E">
      <w:pPr>
        <w:pStyle w:val="24"/>
        <w:tabs>
          <w:tab w:val="right" w:leader="dot" w:pos="9628"/>
        </w:tabs>
        <w:spacing w:line="480" w:lineRule="auto"/>
        <w:ind w:left="839" w:firstLine="420"/>
        <w:rPr>
          <w:rFonts w:hAnsi="宋体" w:cs="楷体"/>
          <w:color w:val="auto"/>
          <w:szCs w:val="21"/>
          <w:highlight w:val="none"/>
          <w:u w:val="single"/>
        </w:rPr>
      </w:pPr>
      <w:r>
        <w:rPr>
          <w:rFonts w:hint="eastAsia" w:hAnsi="宋体" w:cs="楷体"/>
          <w:color w:val="auto"/>
          <w:szCs w:val="21"/>
          <w:highlight w:val="none"/>
          <w:u w:val="singl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50FC6EF8">
      <w:pPr>
        <w:rPr>
          <w:rFonts w:ascii="宋体"/>
          <w:b/>
          <w:bCs/>
          <w:color w:val="auto"/>
          <w:sz w:val="36"/>
          <w:szCs w:val="36"/>
          <w:highlight w:val="none"/>
          <w:lang w:val="zh-CN"/>
        </w:rPr>
      </w:pPr>
      <w:r>
        <w:rPr>
          <w:rFonts w:hint="eastAsia" w:ascii="宋体"/>
          <w:b/>
          <w:bCs/>
          <w:color w:val="auto"/>
          <w:sz w:val="36"/>
          <w:szCs w:val="36"/>
          <w:highlight w:val="none"/>
          <w:lang w:val="zh-CN"/>
        </w:rPr>
        <w:br w:type="page"/>
      </w:r>
    </w:p>
    <w:p w14:paraId="53E53D3B">
      <w:pPr>
        <w:tabs>
          <w:tab w:val="left" w:pos="1080"/>
        </w:tabs>
        <w:autoSpaceDE w:val="0"/>
        <w:autoSpaceDN w:val="0"/>
        <w:adjustRightInd w:val="0"/>
        <w:spacing w:line="500" w:lineRule="atLeast"/>
        <w:jc w:val="center"/>
        <w:textAlignment w:val="baseline"/>
        <w:outlineLvl w:val="0"/>
        <w:rPr>
          <w:rFonts w:ascii="宋体"/>
          <w:b/>
          <w:bCs/>
          <w:color w:val="auto"/>
          <w:sz w:val="32"/>
          <w:szCs w:val="32"/>
          <w:highlight w:val="none"/>
          <w:lang w:val="zh-CN"/>
        </w:rPr>
      </w:pPr>
      <w:r>
        <w:rPr>
          <w:rFonts w:hint="eastAsia" w:ascii="宋体"/>
          <w:b/>
          <w:bCs/>
          <w:color w:val="auto"/>
          <w:sz w:val="36"/>
          <w:szCs w:val="36"/>
          <w:highlight w:val="none"/>
          <w:lang w:val="zh-CN"/>
        </w:rPr>
        <w:t>第一部分</w:t>
      </w:r>
      <w:r>
        <w:rPr>
          <w:rFonts w:ascii="宋体"/>
          <w:b/>
          <w:bCs/>
          <w:color w:val="auto"/>
          <w:sz w:val="36"/>
          <w:szCs w:val="36"/>
          <w:highlight w:val="none"/>
          <w:lang w:val="zh-CN"/>
        </w:rPr>
        <w:t xml:space="preserve">   </w:t>
      </w:r>
      <w:r>
        <w:rPr>
          <w:rFonts w:hint="eastAsia" w:ascii="宋体"/>
          <w:b/>
          <w:bCs/>
          <w:color w:val="auto"/>
          <w:sz w:val="36"/>
          <w:szCs w:val="36"/>
          <w:highlight w:val="none"/>
          <w:lang w:val="zh-CN"/>
        </w:rPr>
        <w:t>投标邀请函（投标须知前附表）</w:t>
      </w:r>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664B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19F13E71">
            <w:pPr>
              <w:spacing w:line="400" w:lineRule="atLeast"/>
              <w:jc w:val="center"/>
              <w:rPr>
                <w:rFonts w:ascii="宋体" w:cs="Arial"/>
                <w:color w:val="auto"/>
                <w:sz w:val="22"/>
                <w:highlight w:val="none"/>
              </w:rPr>
            </w:pPr>
            <w:r>
              <w:rPr>
                <w:rFonts w:hint="eastAsia" w:ascii="宋体" w:cs="Arial"/>
                <w:color w:val="auto"/>
                <w:sz w:val="22"/>
                <w:highlight w:val="none"/>
              </w:rPr>
              <w:t>项号</w:t>
            </w:r>
          </w:p>
        </w:tc>
        <w:tc>
          <w:tcPr>
            <w:tcW w:w="1600" w:type="dxa"/>
            <w:tcBorders>
              <w:top w:val="single" w:color="auto" w:sz="12" w:space="0"/>
            </w:tcBorders>
            <w:vAlign w:val="center"/>
          </w:tcPr>
          <w:p w14:paraId="1BED923A">
            <w:pPr>
              <w:spacing w:line="400" w:lineRule="atLeast"/>
              <w:jc w:val="center"/>
              <w:rPr>
                <w:rFonts w:ascii="宋体" w:cs="Arial"/>
                <w:color w:val="auto"/>
                <w:sz w:val="22"/>
                <w:highlight w:val="none"/>
              </w:rPr>
            </w:pPr>
            <w:r>
              <w:rPr>
                <w:rFonts w:hint="eastAsia" w:ascii="宋体" w:cs="Arial"/>
                <w:color w:val="auto"/>
                <w:sz w:val="22"/>
                <w:highlight w:val="none"/>
              </w:rPr>
              <w:t>内容</w:t>
            </w:r>
          </w:p>
        </w:tc>
        <w:tc>
          <w:tcPr>
            <w:tcW w:w="7619" w:type="dxa"/>
            <w:tcBorders>
              <w:top w:val="single" w:color="auto" w:sz="12" w:space="0"/>
            </w:tcBorders>
            <w:vAlign w:val="center"/>
          </w:tcPr>
          <w:p w14:paraId="6DB2AA56">
            <w:pPr>
              <w:spacing w:line="400" w:lineRule="atLeast"/>
              <w:jc w:val="center"/>
              <w:rPr>
                <w:rFonts w:ascii="宋体" w:cs="Arial"/>
                <w:color w:val="auto"/>
                <w:sz w:val="22"/>
                <w:highlight w:val="none"/>
              </w:rPr>
            </w:pPr>
            <w:r>
              <w:rPr>
                <w:rFonts w:hint="eastAsia" w:ascii="宋体" w:cs="Arial"/>
                <w:color w:val="auto"/>
                <w:sz w:val="22"/>
                <w:highlight w:val="none"/>
              </w:rPr>
              <w:t>说明与要求</w:t>
            </w:r>
          </w:p>
        </w:tc>
      </w:tr>
      <w:tr w14:paraId="608D5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D94527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B66A723">
            <w:pPr>
              <w:jc w:val="center"/>
              <w:rPr>
                <w:rFonts w:ascii="宋体" w:cs="Arial"/>
                <w:color w:val="auto"/>
                <w:sz w:val="22"/>
                <w:highlight w:val="none"/>
              </w:rPr>
            </w:pPr>
            <w:r>
              <w:rPr>
                <w:rFonts w:hint="eastAsia" w:ascii="宋体" w:cs="Arial"/>
                <w:color w:val="auto"/>
                <w:sz w:val="22"/>
                <w:highlight w:val="none"/>
              </w:rPr>
              <w:t>项目名称</w:t>
            </w:r>
          </w:p>
        </w:tc>
        <w:tc>
          <w:tcPr>
            <w:tcW w:w="7619" w:type="dxa"/>
            <w:vAlign w:val="center"/>
          </w:tcPr>
          <w:p w14:paraId="7D61E3B2">
            <w:pPr>
              <w:rPr>
                <w:rFonts w:hint="eastAsia" w:ascii="宋体" w:eastAsiaTheme="minorEastAsia"/>
                <w:color w:val="auto"/>
                <w:sz w:val="22"/>
                <w:highlight w:val="none"/>
                <w:lang w:eastAsia="zh-CN"/>
              </w:rPr>
            </w:pPr>
            <w:r>
              <w:rPr>
                <w:rFonts w:hint="eastAsia" w:ascii="宋体" w:hAnsi="宋体"/>
                <w:bCs/>
                <w:color w:val="auto"/>
                <w:sz w:val="22"/>
                <w:szCs w:val="22"/>
                <w:highlight w:val="none"/>
                <w:lang w:eastAsia="zh-CN"/>
              </w:rPr>
              <w:t>泰顺县2025-2026年度国土变更调查项目</w:t>
            </w:r>
          </w:p>
        </w:tc>
      </w:tr>
      <w:tr w14:paraId="7666E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ECEB5A9">
            <w:pPr>
              <w:widowControl/>
              <w:numPr>
                <w:ilvl w:val="0"/>
                <w:numId w:val="7"/>
              </w:numPr>
              <w:tabs>
                <w:tab w:val="left" w:pos="432"/>
              </w:tabs>
              <w:ind w:left="420"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2F87D018">
            <w:pPr>
              <w:jc w:val="center"/>
              <w:rPr>
                <w:rFonts w:ascii="宋体"/>
                <w:color w:val="auto"/>
                <w:sz w:val="22"/>
                <w:highlight w:val="none"/>
              </w:rPr>
            </w:pPr>
            <w:r>
              <w:rPr>
                <w:rFonts w:hint="eastAsia" w:ascii="宋体"/>
                <w:color w:val="auto"/>
                <w:sz w:val="22"/>
                <w:highlight w:val="none"/>
              </w:rPr>
              <w:t>项目编号</w:t>
            </w:r>
          </w:p>
        </w:tc>
        <w:tc>
          <w:tcPr>
            <w:tcW w:w="7619" w:type="dxa"/>
            <w:vAlign w:val="center"/>
          </w:tcPr>
          <w:p w14:paraId="7B7157BC">
            <w:pPr>
              <w:rPr>
                <w:rFonts w:hint="eastAsia" w:ascii="宋体" w:eastAsiaTheme="minorEastAsia"/>
                <w:color w:val="auto"/>
                <w:sz w:val="22"/>
                <w:highlight w:val="none"/>
                <w:lang w:eastAsia="zh-CN"/>
              </w:rPr>
            </w:pPr>
            <w:r>
              <w:rPr>
                <w:rFonts w:hint="eastAsia" w:ascii="宋体"/>
                <w:color w:val="auto"/>
                <w:sz w:val="22"/>
                <w:highlight w:val="none"/>
                <w:lang w:eastAsia="zh-CN"/>
              </w:rPr>
              <w:t>TSCG202511029</w:t>
            </w:r>
          </w:p>
        </w:tc>
      </w:tr>
      <w:tr w14:paraId="1267B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3C98425">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398293E7">
            <w:pPr>
              <w:jc w:val="center"/>
              <w:rPr>
                <w:rFonts w:ascii="宋体" w:cs="Arial"/>
                <w:color w:val="auto"/>
                <w:sz w:val="22"/>
                <w:highlight w:val="none"/>
              </w:rPr>
            </w:pPr>
            <w:r>
              <w:rPr>
                <w:rFonts w:hint="eastAsia" w:ascii="宋体"/>
                <w:color w:val="auto"/>
                <w:sz w:val="22"/>
                <w:highlight w:val="none"/>
              </w:rPr>
              <w:t>资金来源</w:t>
            </w:r>
          </w:p>
        </w:tc>
        <w:tc>
          <w:tcPr>
            <w:tcW w:w="7619" w:type="dxa"/>
            <w:vAlign w:val="center"/>
          </w:tcPr>
          <w:p w14:paraId="06551885">
            <w:pPr>
              <w:rPr>
                <w:rFonts w:ascii="宋体" w:cs="Arial"/>
                <w:color w:val="auto"/>
                <w:sz w:val="22"/>
                <w:highlight w:val="none"/>
              </w:rPr>
            </w:pPr>
            <w:r>
              <w:rPr>
                <w:rFonts w:hint="eastAsia" w:ascii="宋体"/>
                <w:color w:val="auto"/>
                <w:sz w:val="22"/>
                <w:highlight w:val="none"/>
              </w:rPr>
              <w:t>财政性资金</w:t>
            </w:r>
          </w:p>
        </w:tc>
      </w:tr>
      <w:tr w14:paraId="3BAD0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D440E4F">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7E67908">
            <w:pPr>
              <w:jc w:val="center"/>
              <w:rPr>
                <w:rFonts w:ascii="宋体"/>
                <w:color w:val="auto"/>
                <w:sz w:val="22"/>
                <w:highlight w:val="none"/>
              </w:rPr>
            </w:pPr>
            <w:r>
              <w:rPr>
                <w:rFonts w:hint="eastAsia" w:ascii="宋体"/>
                <w:color w:val="auto"/>
                <w:sz w:val="22"/>
                <w:highlight w:val="none"/>
              </w:rPr>
              <w:t>采购方式</w:t>
            </w:r>
          </w:p>
        </w:tc>
        <w:tc>
          <w:tcPr>
            <w:tcW w:w="7619" w:type="dxa"/>
            <w:vAlign w:val="center"/>
          </w:tcPr>
          <w:p w14:paraId="397AF91E">
            <w:pPr>
              <w:rPr>
                <w:rFonts w:ascii="宋体"/>
                <w:color w:val="auto"/>
                <w:sz w:val="22"/>
                <w:highlight w:val="none"/>
              </w:rPr>
            </w:pPr>
            <w:r>
              <w:rPr>
                <w:rFonts w:hint="eastAsia" w:ascii="宋体"/>
                <w:color w:val="auto"/>
                <w:sz w:val="22"/>
                <w:highlight w:val="none"/>
              </w:rPr>
              <w:t>竞争性磋商</w:t>
            </w:r>
          </w:p>
        </w:tc>
      </w:tr>
      <w:tr w14:paraId="75BD0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4C35B6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9A1B676">
            <w:pPr>
              <w:jc w:val="center"/>
              <w:rPr>
                <w:rFonts w:ascii="宋体"/>
                <w:color w:val="auto"/>
                <w:sz w:val="22"/>
                <w:highlight w:val="none"/>
              </w:rPr>
            </w:pPr>
            <w:r>
              <w:rPr>
                <w:rFonts w:hint="eastAsia" w:ascii="宋体"/>
                <w:color w:val="auto"/>
                <w:sz w:val="22"/>
                <w:highlight w:val="none"/>
              </w:rPr>
              <w:t>最高限价</w:t>
            </w:r>
          </w:p>
        </w:tc>
        <w:tc>
          <w:tcPr>
            <w:tcW w:w="7619" w:type="dxa"/>
            <w:vAlign w:val="center"/>
          </w:tcPr>
          <w:p w14:paraId="2CDFC877">
            <w:pPr>
              <w:pStyle w:val="116"/>
              <w:tabs>
                <w:tab w:val="left" w:pos="426"/>
              </w:tabs>
              <w:spacing w:line="400" w:lineRule="exact"/>
              <w:ind w:firstLine="0" w:firstLineChars="0"/>
              <w:rPr>
                <w:rFonts w:ascii="宋体"/>
                <w:color w:val="auto"/>
                <w:sz w:val="22"/>
                <w:highlight w:val="none"/>
              </w:rPr>
            </w:pPr>
            <w:r>
              <w:rPr>
                <w:rFonts w:hint="eastAsia" w:ascii="宋体" w:hAnsi="宋体"/>
                <w:bCs/>
                <w:color w:val="auto"/>
                <w:kern w:val="0"/>
                <w:sz w:val="22"/>
                <w:highlight w:val="none"/>
                <w:lang w:eastAsia="zh-CN"/>
              </w:rPr>
              <w:t>320万</w:t>
            </w:r>
            <w:r>
              <w:rPr>
                <w:rFonts w:hint="eastAsia" w:ascii="宋体" w:hAnsi="宋体"/>
                <w:bCs/>
                <w:color w:val="auto"/>
                <w:kern w:val="0"/>
                <w:sz w:val="22"/>
                <w:highlight w:val="none"/>
              </w:rPr>
              <w:t>元</w:t>
            </w:r>
          </w:p>
        </w:tc>
      </w:tr>
      <w:tr w14:paraId="2AFD8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78E745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79AB0B0">
            <w:pPr>
              <w:jc w:val="center"/>
              <w:rPr>
                <w:rFonts w:ascii="宋体"/>
                <w:color w:val="auto"/>
                <w:sz w:val="22"/>
                <w:highlight w:val="none"/>
              </w:rPr>
            </w:pPr>
            <w:r>
              <w:rPr>
                <w:rFonts w:hint="eastAsia" w:ascii="宋体"/>
                <w:color w:val="auto"/>
                <w:sz w:val="22"/>
                <w:highlight w:val="none"/>
              </w:rPr>
              <w:t>采购预算</w:t>
            </w:r>
          </w:p>
        </w:tc>
        <w:tc>
          <w:tcPr>
            <w:tcW w:w="7619" w:type="dxa"/>
            <w:vAlign w:val="center"/>
          </w:tcPr>
          <w:p w14:paraId="2B9C1C79">
            <w:pPr>
              <w:rPr>
                <w:rFonts w:ascii="宋体"/>
                <w:color w:val="auto"/>
                <w:sz w:val="22"/>
                <w:highlight w:val="none"/>
              </w:rPr>
            </w:pPr>
            <w:r>
              <w:rPr>
                <w:rFonts w:hint="eastAsia" w:ascii="宋体" w:hAnsi="宋体"/>
                <w:bCs/>
                <w:color w:val="auto"/>
                <w:kern w:val="0"/>
                <w:sz w:val="22"/>
                <w:highlight w:val="none"/>
                <w:lang w:eastAsia="zh-CN"/>
              </w:rPr>
              <w:t>320万</w:t>
            </w:r>
            <w:r>
              <w:rPr>
                <w:rFonts w:hint="eastAsia" w:ascii="宋体" w:hAnsi="宋体"/>
                <w:bCs/>
                <w:color w:val="auto"/>
                <w:kern w:val="0"/>
                <w:sz w:val="22"/>
                <w:highlight w:val="none"/>
              </w:rPr>
              <w:t xml:space="preserve">元     </w:t>
            </w:r>
          </w:p>
        </w:tc>
      </w:tr>
      <w:tr w14:paraId="36FE7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F861A7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7EE1EF3">
            <w:pPr>
              <w:adjustRightInd w:val="0"/>
              <w:jc w:val="center"/>
              <w:rPr>
                <w:rFonts w:ascii="宋体"/>
                <w:color w:val="auto"/>
                <w:sz w:val="22"/>
                <w:highlight w:val="none"/>
              </w:rPr>
            </w:pPr>
            <w:r>
              <w:rPr>
                <w:rFonts w:hint="eastAsia" w:ascii="宋体"/>
                <w:color w:val="auto"/>
                <w:sz w:val="22"/>
                <w:highlight w:val="none"/>
              </w:rPr>
              <w:t>采购单位</w:t>
            </w:r>
          </w:p>
        </w:tc>
        <w:tc>
          <w:tcPr>
            <w:tcW w:w="7619" w:type="dxa"/>
            <w:vAlign w:val="center"/>
          </w:tcPr>
          <w:p w14:paraId="3CAF5B0F">
            <w:pPr>
              <w:pStyle w:val="57"/>
              <w:rPr>
                <w:rFonts w:hint="eastAsia" w:ascii="宋体" w:hAnsi="宋体" w:eastAsiaTheme="minorEastAsia" w:cstheme="minorBidi"/>
                <w:bCs/>
                <w:color w:val="auto"/>
                <w:sz w:val="22"/>
                <w:highlight w:val="none"/>
                <w:lang w:eastAsia="zh-CN"/>
              </w:rPr>
            </w:pPr>
            <w:r>
              <w:rPr>
                <w:rFonts w:hint="eastAsia" w:ascii="宋体" w:hAnsi="宋体" w:eastAsiaTheme="minorEastAsia" w:cstheme="minorBidi"/>
                <w:bCs/>
                <w:color w:val="auto"/>
                <w:sz w:val="22"/>
                <w:highlight w:val="none"/>
              </w:rPr>
              <w:t>名 称：</w:t>
            </w:r>
            <w:r>
              <w:rPr>
                <w:rFonts w:hint="eastAsia" w:ascii="宋体" w:hAnsi="宋体" w:eastAsiaTheme="minorEastAsia" w:cstheme="minorBidi"/>
                <w:bCs/>
                <w:color w:val="auto"/>
                <w:sz w:val="22"/>
                <w:highlight w:val="none"/>
                <w:lang w:eastAsia="zh-CN"/>
              </w:rPr>
              <w:t>泰顺县自然资源和规划局</w:t>
            </w:r>
          </w:p>
          <w:p w14:paraId="1C03E6D3">
            <w:pPr>
              <w:pStyle w:val="57"/>
              <w:rPr>
                <w:rFonts w:hint="default"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项目联系人（询问）：</w:t>
            </w:r>
            <w:r>
              <w:rPr>
                <w:rFonts w:hint="eastAsia" w:ascii="宋体" w:hAnsi="宋体" w:eastAsiaTheme="minorEastAsia" w:cstheme="minorBidi"/>
                <w:bCs/>
                <w:color w:val="auto"/>
                <w:sz w:val="22"/>
                <w:highlight w:val="none"/>
                <w:lang w:val="en-US" w:eastAsia="zh-CN"/>
              </w:rPr>
              <w:t>夏华晓</w:t>
            </w:r>
          </w:p>
          <w:p w14:paraId="623FD0F8">
            <w:pPr>
              <w:pStyle w:val="57"/>
              <w:rPr>
                <w:color w:val="auto"/>
                <w:highlight w:val="none"/>
              </w:rPr>
            </w:pPr>
            <w:r>
              <w:rPr>
                <w:rFonts w:hint="eastAsia" w:ascii="宋体" w:hAnsi="宋体" w:eastAsiaTheme="minorEastAsia" w:cstheme="minorBidi"/>
                <w:bCs/>
                <w:color w:val="auto"/>
                <w:sz w:val="22"/>
                <w:highlight w:val="none"/>
              </w:rPr>
              <w:t>项目联系方式（询问）：0577-67570877</w:t>
            </w:r>
          </w:p>
          <w:p w14:paraId="69FE1301">
            <w:pPr>
              <w:pStyle w:val="57"/>
              <w:rPr>
                <w:rFonts w:hint="default"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质疑联系人：</w:t>
            </w:r>
            <w:r>
              <w:rPr>
                <w:rFonts w:hint="eastAsia" w:ascii="宋体" w:hAnsi="宋体" w:eastAsiaTheme="minorEastAsia" w:cstheme="minorBidi"/>
                <w:bCs/>
                <w:color w:val="auto"/>
                <w:sz w:val="22"/>
                <w:highlight w:val="none"/>
                <w:lang w:val="en-US" w:eastAsia="zh-CN"/>
              </w:rPr>
              <w:t>夏菲</w:t>
            </w:r>
          </w:p>
          <w:p w14:paraId="3EDB39A6">
            <w:pPr>
              <w:pStyle w:val="57"/>
              <w:rPr>
                <w:rFonts w:ascii="宋体" w:hAnsi="宋体" w:eastAsiaTheme="minorEastAsia" w:cstheme="minorBidi"/>
                <w:bCs/>
                <w:color w:val="auto"/>
                <w:sz w:val="22"/>
                <w:highlight w:val="none"/>
              </w:rPr>
            </w:pPr>
            <w:r>
              <w:rPr>
                <w:rFonts w:hint="eastAsia" w:ascii="宋体" w:hAnsi="宋体" w:eastAsiaTheme="minorEastAsia" w:cstheme="minorBidi"/>
                <w:bCs/>
                <w:color w:val="auto"/>
                <w:sz w:val="22"/>
                <w:highlight w:val="none"/>
              </w:rPr>
              <w:t>质疑联系方式：0577-67570877</w:t>
            </w:r>
          </w:p>
        </w:tc>
      </w:tr>
      <w:tr w14:paraId="545FC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4724A7D">
            <w:pPr>
              <w:widowControl/>
              <w:numPr>
                <w:ilvl w:val="0"/>
                <w:numId w:val="7"/>
              </w:numPr>
              <w:tabs>
                <w:tab w:val="left" w:pos="432"/>
              </w:tabs>
              <w:ind w:left="420" w:right="105"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606F6FC9">
            <w:pPr>
              <w:jc w:val="center"/>
              <w:rPr>
                <w:rFonts w:ascii="宋体"/>
                <w:color w:val="auto"/>
                <w:sz w:val="22"/>
                <w:highlight w:val="none"/>
              </w:rPr>
            </w:pPr>
            <w:r>
              <w:rPr>
                <w:rFonts w:hint="eastAsia" w:ascii="宋体"/>
                <w:color w:val="auto"/>
                <w:sz w:val="22"/>
                <w:highlight w:val="none"/>
              </w:rPr>
              <w:t>招标代理机构</w:t>
            </w:r>
          </w:p>
        </w:tc>
        <w:tc>
          <w:tcPr>
            <w:tcW w:w="7619" w:type="dxa"/>
            <w:vAlign w:val="center"/>
          </w:tcPr>
          <w:p w14:paraId="01E87A4D">
            <w:pPr>
              <w:rPr>
                <w:rFonts w:ascii="宋体" w:hAnsi="宋体"/>
                <w:bCs/>
                <w:color w:val="auto"/>
                <w:sz w:val="22"/>
                <w:szCs w:val="22"/>
                <w:highlight w:val="none"/>
              </w:rPr>
            </w:pPr>
            <w:r>
              <w:rPr>
                <w:rFonts w:hint="eastAsia" w:ascii="宋体" w:hAnsi="宋体"/>
                <w:bCs/>
                <w:color w:val="auto"/>
                <w:sz w:val="22"/>
                <w:szCs w:val="22"/>
                <w:highlight w:val="none"/>
              </w:rPr>
              <w:t>名    称：温州久恒工程项目管理有限公司　　　　　　　　　　　　</w:t>
            </w:r>
          </w:p>
          <w:p w14:paraId="126CAD27">
            <w:pPr>
              <w:rPr>
                <w:rFonts w:ascii="宋体" w:hAnsi="宋体"/>
                <w:bCs/>
                <w:color w:val="auto"/>
                <w:sz w:val="22"/>
                <w:szCs w:val="22"/>
                <w:highlight w:val="none"/>
              </w:rPr>
            </w:pPr>
            <w:r>
              <w:rPr>
                <w:rFonts w:hint="eastAsia" w:ascii="宋体" w:hAnsi="宋体"/>
                <w:bCs/>
                <w:color w:val="auto"/>
                <w:sz w:val="22"/>
                <w:szCs w:val="22"/>
                <w:highlight w:val="none"/>
              </w:rPr>
              <w:t>项目联系人（询问）：陶芳芳</w:t>
            </w:r>
          </w:p>
          <w:p w14:paraId="64B5C7E1">
            <w:pPr>
              <w:rPr>
                <w:rFonts w:ascii="宋体" w:hAnsi="宋体"/>
                <w:bCs/>
                <w:color w:val="auto"/>
                <w:sz w:val="22"/>
                <w:szCs w:val="22"/>
                <w:highlight w:val="none"/>
              </w:rPr>
            </w:pPr>
            <w:r>
              <w:rPr>
                <w:rFonts w:hint="eastAsia" w:ascii="宋体" w:hAnsi="宋体"/>
                <w:bCs/>
                <w:color w:val="auto"/>
                <w:sz w:val="22"/>
                <w:szCs w:val="22"/>
                <w:highlight w:val="none"/>
              </w:rPr>
              <w:t>项目联系方式（询问）：13858812880</w:t>
            </w:r>
          </w:p>
          <w:p w14:paraId="5EE89E77">
            <w:pPr>
              <w:rPr>
                <w:rFonts w:ascii="宋体" w:hAnsi="宋体"/>
                <w:bCs/>
                <w:color w:val="auto"/>
                <w:sz w:val="22"/>
                <w:szCs w:val="22"/>
                <w:highlight w:val="none"/>
              </w:rPr>
            </w:pPr>
            <w:r>
              <w:rPr>
                <w:rFonts w:hint="eastAsia" w:ascii="宋体" w:hAnsi="宋体"/>
                <w:bCs/>
                <w:color w:val="auto"/>
                <w:sz w:val="22"/>
                <w:szCs w:val="22"/>
                <w:highlight w:val="none"/>
              </w:rPr>
              <w:t xml:space="preserve">质疑联系人：雷瑞垟 </w:t>
            </w:r>
          </w:p>
          <w:p w14:paraId="61DB9184">
            <w:pPr>
              <w:rPr>
                <w:rFonts w:ascii="宋体" w:hAnsi="宋体"/>
                <w:bCs/>
                <w:color w:val="auto"/>
                <w:sz w:val="22"/>
                <w:szCs w:val="22"/>
                <w:highlight w:val="none"/>
              </w:rPr>
            </w:pPr>
            <w:r>
              <w:rPr>
                <w:rFonts w:hint="eastAsia" w:ascii="宋体" w:hAnsi="宋体"/>
                <w:bCs/>
                <w:color w:val="auto"/>
                <w:sz w:val="22"/>
                <w:szCs w:val="22"/>
                <w:highlight w:val="none"/>
              </w:rPr>
              <w:t>质疑联系方式：0577-55952543</w:t>
            </w:r>
          </w:p>
        </w:tc>
      </w:tr>
      <w:tr w14:paraId="43E36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2B43686">
            <w:pPr>
              <w:widowControl/>
              <w:numPr>
                <w:ilvl w:val="0"/>
                <w:numId w:val="7"/>
              </w:numPr>
              <w:tabs>
                <w:tab w:val="left" w:pos="432"/>
              </w:tabs>
              <w:ind w:left="420" w:right="105" w:hanging="420"/>
              <w:jc w:val="right"/>
              <w:rPr>
                <w:rFonts w:ascii="宋体"/>
                <w:color w:val="auto"/>
                <w:sz w:val="22"/>
                <w:highlight w:val="none"/>
              </w:rPr>
            </w:pPr>
          </w:p>
        </w:tc>
        <w:tc>
          <w:tcPr>
            <w:tcW w:w="1600" w:type="dxa"/>
            <w:vAlign w:val="center"/>
          </w:tcPr>
          <w:p w14:paraId="5FA82EDA">
            <w:pPr>
              <w:jc w:val="center"/>
              <w:rPr>
                <w:rFonts w:ascii="宋体"/>
                <w:color w:val="auto"/>
                <w:sz w:val="22"/>
                <w:highlight w:val="none"/>
              </w:rPr>
            </w:pPr>
            <w:r>
              <w:rPr>
                <w:rFonts w:hint="eastAsia" w:ascii="宋体"/>
                <w:color w:val="auto"/>
                <w:sz w:val="22"/>
                <w:highlight w:val="none"/>
              </w:rPr>
              <w:t>同级政府采购监督管理部门</w:t>
            </w:r>
          </w:p>
        </w:tc>
        <w:tc>
          <w:tcPr>
            <w:tcW w:w="7619" w:type="dxa"/>
            <w:vAlign w:val="center"/>
          </w:tcPr>
          <w:p w14:paraId="13C809A5">
            <w:pPr>
              <w:rPr>
                <w:rFonts w:ascii="宋体" w:hAnsi="宋体"/>
                <w:bCs/>
                <w:color w:val="auto"/>
                <w:sz w:val="22"/>
                <w:szCs w:val="22"/>
                <w:highlight w:val="none"/>
              </w:rPr>
            </w:pPr>
            <w:r>
              <w:rPr>
                <w:rFonts w:hint="eastAsia" w:ascii="宋体" w:hAnsi="宋体"/>
                <w:bCs/>
                <w:color w:val="auto"/>
                <w:sz w:val="22"/>
                <w:szCs w:val="22"/>
                <w:highlight w:val="none"/>
              </w:rPr>
              <w:t>名 称：浙江省泰顺县财政局（浙江省政府采购行政裁决服务中心（温州））</w:t>
            </w:r>
          </w:p>
          <w:p w14:paraId="7FCA91E9">
            <w:pPr>
              <w:rPr>
                <w:rFonts w:ascii="宋体" w:hAnsi="宋体"/>
                <w:bCs/>
                <w:color w:val="auto"/>
                <w:sz w:val="22"/>
                <w:szCs w:val="22"/>
                <w:highlight w:val="none"/>
              </w:rPr>
            </w:pPr>
            <w:r>
              <w:rPr>
                <w:rFonts w:hint="eastAsia" w:ascii="宋体" w:hAnsi="宋体"/>
                <w:bCs/>
                <w:color w:val="auto"/>
                <w:sz w:val="22"/>
                <w:szCs w:val="22"/>
                <w:highlight w:val="none"/>
              </w:rPr>
              <w:t>地 址：温州市鹿城区滨江街道瓯江路展银大厦1606室</w:t>
            </w:r>
          </w:p>
          <w:p w14:paraId="342398B2">
            <w:pPr>
              <w:rPr>
                <w:rFonts w:ascii="宋体" w:hAnsi="宋体"/>
                <w:bCs/>
                <w:color w:val="auto"/>
                <w:sz w:val="22"/>
                <w:szCs w:val="22"/>
                <w:highlight w:val="none"/>
              </w:rPr>
            </w:pPr>
            <w:r>
              <w:rPr>
                <w:rFonts w:hint="eastAsia" w:ascii="宋体" w:hAnsi="宋体"/>
                <w:bCs/>
                <w:color w:val="auto"/>
                <w:sz w:val="22"/>
                <w:szCs w:val="22"/>
                <w:highlight w:val="none"/>
              </w:rPr>
              <w:t>联 系 人：李老师、王老师</w:t>
            </w:r>
          </w:p>
          <w:p w14:paraId="05AF1C47">
            <w:pPr>
              <w:rPr>
                <w:rFonts w:ascii="宋体" w:hAnsi="宋体"/>
                <w:bCs/>
                <w:color w:val="auto"/>
                <w:sz w:val="22"/>
                <w:szCs w:val="22"/>
                <w:highlight w:val="none"/>
              </w:rPr>
            </w:pPr>
            <w:r>
              <w:rPr>
                <w:rFonts w:hint="eastAsia" w:ascii="宋体" w:hAnsi="宋体"/>
                <w:bCs/>
                <w:color w:val="auto"/>
                <w:sz w:val="22"/>
                <w:szCs w:val="22"/>
                <w:highlight w:val="none"/>
                <w:lang w:val="en-US" w:eastAsia="zh-CN"/>
              </w:rPr>
              <w:t>监督投诉电话：0577-85501561，0577-85501562</w:t>
            </w:r>
          </w:p>
        </w:tc>
      </w:tr>
      <w:tr w14:paraId="7D802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9377D19">
            <w:pPr>
              <w:widowControl/>
              <w:numPr>
                <w:ilvl w:val="0"/>
                <w:numId w:val="7"/>
              </w:numPr>
              <w:tabs>
                <w:tab w:val="left" w:pos="432"/>
              </w:tabs>
              <w:ind w:left="420" w:right="105" w:hanging="420"/>
              <w:jc w:val="right"/>
              <w:rPr>
                <w:rFonts w:ascii="宋体" w:eastAsia="Times New Roman"/>
                <w:color w:val="auto"/>
                <w:sz w:val="22"/>
                <w:highlight w:val="none"/>
              </w:rPr>
            </w:pPr>
          </w:p>
        </w:tc>
        <w:tc>
          <w:tcPr>
            <w:tcW w:w="1600" w:type="dxa"/>
            <w:vAlign w:val="center"/>
          </w:tcPr>
          <w:p w14:paraId="6110D361">
            <w:pPr>
              <w:jc w:val="center"/>
              <w:rPr>
                <w:rFonts w:ascii="宋体" w:cs="Arial"/>
                <w:color w:val="auto"/>
                <w:sz w:val="22"/>
                <w:highlight w:val="none"/>
              </w:rPr>
            </w:pPr>
            <w:r>
              <w:rPr>
                <w:rFonts w:hint="eastAsia" w:ascii="宋体" w:cs="Arial"/>
                <w:color w:val="auto"/>
                <w:sz w:val="22"/>
                <w:highlight w:val="none"/>
              </w:rPr>
              <w:t>评标办法</w:t>
            </w:r>
          </w:p>
        </w:tc>
        <w:tc>
          <w:tcPr>
            <w:tcW w:w="7619" w:type="dxa"/>
            <w:vAlign w:val="center"/>
          </w:tcPr>
          <w:p w14:paraId="41666102">
            <w:pPr>
              <w:adjustRightInd w:val="0"/>
              <w:rPr>
                <w:rFonts w:ascii="宋体"/>
                <w:color w:val="auto"/>
                <w:sz w:val="22"/>
                <w:highlight w:val="none"/>
              </w:rPr>
            </w:pPr>
            <w:r>
              <w:rPr>
                <w:rFonts w:hint="eastAsia" w:ascii="宋体"/>
                <w:color w:val="auto"/>
                <w:sz w:val="22"/>
                <w:highlight w:val="none"/>
              </w:rPr>
              <w:t>综合评分法</w:t>
            </w:r>
          </w:p>
        </w:tc>
      </w:tr>
      <w:tr w14:paraId="49819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055698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DFE746B">
            <w:pPr>
              <w:jc w:val="center"/>
              <w:rPr>
                <w:rFonts w:ascii="宋体" w:cs="Arial"/>
                <w:color w:val="auto"/>
                <w:sz w:val="22"/>
                <w:highlight w:val="none"/>
              </w:rPr>
            </w:pPr>
            <w:r>
              <w:rPr>
                <w:rFonts w:hint="eastAsia" w:ascii="宋体" w:cs="Arial"/>
                <w:color w:val="auto"/>
                <w:sz w:val="22"/>
                <w:highlight w:val="none"/>
              </w:rPr>
              <w:t>招标内容</w:t>
            </w:r>
          </w:p>
        </w:tc>
        <w:tc>
          <w:tcPr>
            <w:tcW w:w="7619" w:type="dxa"/>
            <w:vAlign w:val="center"/>
          </w:tcPr>
          <w:p w14:paraId="53E323B8">
            <w:pPr>
              <w:adjustRightInd w:val="0"/>
              <w:rPr>
                <w:rFonts w:ascii="宋体"/>
                <w:color w:val="auto"/>
                <w:sz w:val="22"/>
                <w:highlight w:val="none"/>
              </w:rPr>
            </w:pPr>
            <w:r>
              <w:rPr>
                <w:rFonts w:hint="eastAsia" w:ascii="宋体"/>
                <w:color w:val="auto"/>
                <w:sz w:val="22"/>
                <w:highlight w:val="none"/>
              </w:rPr>
              <w:t>具体内容见竞争性磋商文件。</w:t>
            </w:r>
          </w:p>
        </w:tc>
      </w:tr>
      <w:tr w14:paraId="42DE4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61CE3D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2EFD208">
            <w:pPr>
              <w:jc w:val="center"/>
              <w:rPr>
                <w:rFonts w:ascii="宋体"/>
                <w:color w:val="auto"/>
                <w:sz w:val="22"/>
                <w:highlight w:val="none"/>
              </w:rPr>
            </w:pPr>
            <w:r>
              <w:rPr>
                <w:rFonts w:hint="eastAsia" w:ascii="宋体"/>
                <w:color w:val="auto"/>
                <w:sz w:val="22"/>
                <w:highlight w:val="none"/>
              </w:rPr>
              <w:t>投标供应商</w:t>
            </w:r>
          </w:p>
          <w:p w14:paraId="012EC1B3">
            <w:pPr>
              <w:jc w:val="center"/>
              <w:rPr>
                <w:rFonts w:ascii="宋体"/>
                <w:color w:val="auto"/>
                <w:sz w:val="22"/>
                <w:highlight w:val="none"/>
              </w:rPr>
            </w:pPr>
            <w:r>
              <w:rPr>
                <w:rFonts w:hint="eastAsia" w:ascii="宋体"/>
                <w:color w:val="auto"/>
                <w:sz w:val="22"/>
                <w:highlight w:val="none"/>
              </w:rPr>
              <w:t>资格要求</w:t>
            </w:r>
          </w:p>
        </w:tc>
        <w:tc>
          <w:tcPr>
            <w:tcW w:w="7619" w:type="dxa"/>
            <w:vAlign w:val="center"/>
          </w:tcPr>
          <w:p w14:paraId="0A2CE5C1">
            <w:pPr>
              <w:widowControl/>
              <w:rPr>
                <w:rFonts w:ascii="宋体" w:cs="宋体"/>
                <w:color w:val="auto"/>
                <w:kern w:val="28"/>
                <w:sz w:val="22"/>
                <w:highlight w:val="none"/>
              </w:rPr>
            </w:pPr>
            <w:r>
              <w:rPr>
                <w:rFonts w:hint="eastAsia" w:ascii="宋体" w:cs="宋体"/>
                <w:color w:val="auto"/>
                <w:kern w:val="28"/>
                <w:sz w:val="22"/>
                <w:highlight w:val="none"/>
              </w:rPr>
              <w:t>1.满足《中华人民共和国政府采购法》第二十二条规定；</w:t>
            </w:r>
          </w:p>
          <w:p w14:paraId="4FCF09BA">
            <w:pPr>
              <w:widowControl/>
              <w:rPr>
                <w:rFonts w:ascii="宋体" w:cs="宋体"/>
                <w:color w:val="auto"/>
                <w:kern w:val="28"/>
                <w:sz w:val="22"/>
                <w:highlight w:val="none"/>
              </w:rPr>
            </w:pPr>
            <w:r>
              <w:rPr>
                <w:rFonts w:hint="eastAsia" w:ascii="宋体" w:cs="宋体"/>
                <w:color w:val="auto"/>
                <w:kern w:val="28"/>
                <w:sz w:val="22"/>
                <w:highlight w:val="none"/>
              </w:rPr>
              <w:t>1.1具有独立承担民事责任的能力；</w:t>
            </w:r>
          </w:p>
          <w:p w14:paraId="7E84DE7A">
            <w:pPr>
              <w:widowControl/>
              <w:rPr>
                <w:rFonts w:ascii="宋体" w:cs="宋体"/>
                <w:color w:val="auto"/>
                <w:kern w:val="28"/>
                <w:sz w:val="22"/>
                <w:highlight w:val="none"/>
              </w:rPr>
            </w:pPr>
            <w:r>
              <w:rPr>
                <w:rFonts w:hint="eastAsia" w:ascii="宋体" w:cs="宋体"/>
                <w:color w:val="auto"/>
                <w:kern w:val="28"/>
                <w:sz w:val="22"/>
                <w:highlight w:val="none"/>
              </w:rPr>
              <w:t>1.2具有良好的商业信誉和健全的财务会计制度；</w:t>
            </w:r>
          </w:p>
          <w:p w14:paraId="24434583">
            <w:pPr>
              <w:widowControl/>
              <w:rPr>
                <w:rFonts w:ascii="宋体" w:cs="宋体"/>
                <w:color w:val="auto"/>
                <w:kern w:val="28"/>
                <w:sz w:val="22"/>
                <w:highlight w:val="none"/>
              </w:rPr>
            </w:pPr>
            <w:r>
              <w:rPr>
                <w:rFonts w:hint="eastAsia" w:ascii="宋体" w:cs="宋体"/>
                <w:color w:val="auto"/>
                <w:kern w:val="28"/>
                <w:sz w:val="22"/>
                <w:highlight w:val="none"/>
              </w:rPr>
              <w:t>1.3具有履行合同所必需的设备和专业技术能力；</w:t>
            </w:r>
          </w:p>
          <w:p w14:paraId="6A8873D6">
            <w:pPr>
              <w:widowControl/>
              <w:rPr>
                <w:rFonts w:ascii="宋体" w:cs="宋体"/>
                <w:color w:val="auto"/>
                <w:kern w:val="28"/>
                <w:sz w:val="22"/>
                <w:highlight w:val="none"/>
              </w:rPr>
            </w:pPr>
            <w:r>
              <w:rPr>
                <w:rFonts w:hint="eastAsia" w:ascii="宋体" w:cs="宋体"/>
                <w:color w:val="auto"/>
                <w:kern w:val="28"/>
                <w:sz w:val="22"/>
                <w:highlight w:val="none"/>
              </w:rPr>
              <w:t>1.4有依法缴纳税收和社会保障资金的良好记录；</w:t>
            </w:r>
          </w:p>
          <w:p w14:paraId="39D7F484">
            <w:pPr>
              <w:widowControl/>
              <w:rPr>
                <w:rFonts w:ascii="宋体" w:cs="宋体"/>
                <w:color w:val="auto"/>
                <w:kern w:val="28"/>
                <w:sz w:val="22"/>
                <w:highlight w:val="none"/>
              </w:rPr>
            </w:pPr>
            <w:r>
              <w:rPr>
                <w:rFonts w:hint="eastAsia" w:ascii="宋体" w:cs="宋体"/>
                <w:color w:val="auto"/>
                <w:kern w:val="28"/>
                <w:sz w:val="22"/>
                <w:highlight w:val="none"/>
              </w:rPr>
              <w:t>1.5参加政府采购活动前三年内，在经营活动中没有重大违法记录；</w:t>
            </w:r>
          </w:p>
          <w:p w14:paraId="6099729F">
            <w:pPr>
              <w:widowControl/>
              <w:rPr>
                <w:rFonts w:ascii="宋体" w:cs="宋体"/>
                <w:color w:val="auto"/>
                <w:kern w:val="28"/>
                <w:sz w:val="22"/>
                <w:highlight w:val="none"/>
              </w:rPr>
            </w:pPr>
            <w:r>
              <w:rPr>
                <w:rFonts w:hint="eastAsia" w:ascii="宋体" w:cs="宋体"/>
                <w:color w:val="auto"/>
                <w:kern w:val="28"/>
                <w:sz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3F6E78F2">
            <w:pPr>
              <w:widowControl/>
              <w:rPr>
                <w:rFonts w:ascii="宋体" w:cs="宋体"/>
                <w:color w:val="auto"/>
                <w:kern w:val="28"/>
                <w:sz w:val="22"/>
                <w:highlight w:val="none"/>
              </w:rPr>
            </w:pPr>
            <w:r>
              <w:rPr>
                <w:rFonts w:hint="eastAsia" w:ascii="宋体" w:cs="宋体"/>
                <w:color w:val="auto"/>
                <w:kern w:val="28"/>
                <w:sz w:val="22"/>
                <w:highlight w:val="none"/>
              </w:rPr>
              <w:t>3、本项目谢绝联合体投标，不允许转包</w:t>
            </w:r>
            <w:r>
              <w:rPr>
                <w:rFonts w:hint="eastAsia" w:ascii="宋体" w:cs="宋体"/>
                <w:color w:val="auto"/>
                <w:kern w:val="28"/>
                <w:sz w:val="22"/>
                <w:highlight w:val="none"/>
                <w:lang w:val="en-US" w:eastAsia="zh-CN"/>
              </w:rPr>
              <w:t>，未经甲方同意不得</w:t>
            </w:r>
            <w:r>
              <w:rPr>
                <w:rFonts w:hint="eastAsia" w:ascii="宋体" w:cs="宋体"/>
                <w:color w:val="auto"/>
                <w:kern w:val="28"/>
                <w:sz w:val="22"/>
                <w:highlight w:val="none"/>
              </w:rPr>
              <w:t>分包；</w:t>
            </w:r>
          </w:p>
          <w:p w14:paraId="5E5AA223">
            <w:pPr>
              <w:widowControl/>
              <w:rPr>
                <w:rFonts w:ascii="宋体" w:cs="宋体"/>
                <w:color w:val="auto"/>
                <w:kern w:val="28"/>
                <w:sz w:val="22"/>
                <w:highlight w:val="none"/>
              </w:rPr>
            </w:pPr>
            <w:r>
              <w:rPr>
                <w:rFonts w:hint="eastAsia" w:ascii="宋体" w:cs="宋体"/>
                <w:color w:val="auto"/>
                <w:kern w:val="28"/>
                <w:sz w:val="22"/>
                <w:highlight w:val="none"/>
              </w:rPr>
              <w:t>4、法律、行政法规规定的其他条件。</w:t>
            </w:r>
          </w:p>
        </w:tc>
      </w:tr>
      <w:tr w14:paraId="058C7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4A9530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D0C73CA">
            <w:pPr>
              <w:jc w:val="center"/>
              <w:rPr>
                <w:rFonts w:ascii="宋体"/>
                <w:color w:val="auto"/>
                <w:sz w:val="22"/>
                <w:highlight w:val="none"/>
              </w:rPr>
            </w:pPr>
            <w:r>
              <w:rPr>
                <w:rFonts w:hint="eastAsia" w:ascii="宋体"/>
                <w:color w:val="auto"/>
                <w:sz w:val="22"/>
                <w:highlight w:val="none"/>
              </w:rPr>
              <w:t>落实政府采购政策需满足的资格要求</w:t>
            </w:r>
          </w:p>
        </w:tc>
        <w:tc>
          <w:tcPr>
            <w:tcW w:w="7619" w:type="dxa"/>
            <w:vAlign w:val="center"/>
          </w:tcPr>
          <w:p w14:paraId="2190B535">
            <w:pPr>
              <w:widowControl/>
              <w:rPr>
                <w:rFonts w:ascii="宋体" w:cs="宋体"/>
                <w:color w:val="auto"/>
                <w:kern w:val="28"/>
                <w:sz w:val="22"/>
                <w:highlight w:val="none"/>
              </w:rPr>
            </w:pPr>
            <w:r>
              <w:rPr>
                <w:rFonts w:hint="eastAsia" w:ascii="宋体" w:cs="宋体"/>
                <w:color w:val="auto"/>
                <w:kern w:val="28"/>
                <w:sz w:val="22"/>
                <w:highlight w:val="none"/>
              </w:rPr>
              <w:t>对符合财政扶持政策的小微企业（或监狱企业、或残疾人福利性单位）给予评标价格折扣。供应商企业属于以上多种性质的，不重复享受扶持政策。</w:t>
            </w:r>
          </w:p>
        </w:tc>
      </w:tr>
      <w:tr w14:paraId="6CA50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46090DAD">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2A0AF45">
            <w:pPr>
              <w:adjustRightInd w:val="0"/>
              <w:jc w:val="center"/>
              <w:rPr>
                <w:rFonts w:ascii="宋体"/>
                <w:color w:val="auto"/>
                <w:sz w:val="22"/>
                <w:highlight w:val="none"/>
              </w:rPr>
            </w:pPr>
            <w:r>
              <w:rPr>
                <w:rFonts w:hint="eastAsia" w:ascii="宋体"/>
                <w:color w:val="auto"/>
                <w:sz w:val="22"/>
                <w:highlight w:val="none"/>
              </w:rPr>
              <w:t>是否接受联合体投标</w:t>
            </w:r>
          </w:p>
        </w:tc>
        <w:tc>
          <w:tcPr>
            <w:tcW w:w="7619" w:type="dxa"/>
            <w:vAlign w:val="center"/>
          </w:tcPr>
          <w:p w14:paraId="7E2BF5A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不接受</w:t>
            </w:r>
          </w:p>
          <w:p w14:paraId="4975163A">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接受</w:t>
            </w:r>
            <w:r>
              <w:rPr>
                <w:rFonts w:ascii="宋体"/>
                <w:color w:val="auto"/>
                <w:sz w:val="22"/>
                <w:highlight w:val="none"/>
              </w:rPr>
              <w:t xml:space="preserve"> </w:t>
            </w:r>
          </w:p>
        </w:tc>
      </w:tr>
      <w:tr w14:paraId="0F28D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FB2613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FB32F87">
            <w:pPr>
              <w:adjustRightInd w:val="0"/>
              <w:jc w:val="center"/>
              <w:rPr>
                <w:rFonts w:ascii="宋体"/>
                <w:color w:val="auto"/>
                <w:sz w:val="22"/>
                <w:highlight w:val="none"/>
              </w:rPr>
            </w:pPr>
            <w:r>
              <w:rPr>
                <w:rFonts w:hint="eastAsia" w:ascii="宋体"/>
                <w:color w:val="auto"/>
                <w:sz w:val="22"/>
                <w:highlight w:val="none"/>
              </w:rPr>
              <w:t>踏勘现场</w:t>
            </w:r>
          </w:p>
        </w:tc>
        <w:tc>
          <w:tcPr>
            <w:tcW w:w="7619" w:type="dxa"/>
            <w:vAlign w:val="center"/>
          </w:tcPr>
          <w:p w14:paraId="3CC06001">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不组织</w:t>
            </w:r>
          </w:p>
          <w:p w14:paraId="24CE5B86">
            <w:pPr>
              <w:adjustRightInd w:val="0"/>
              <w:rPr>
                <w:rFonts w:ascii="宋体"/>
                <w:color w:val="auto"/>
                <w:sz w:val="22"/>
                <w:highlight w:val="none"/>
              </w:rPr>
            </w:pPr>
            <w:r>
              <w:rPr>
                <w:rFonts w:hint="eastAsia" w:ascii="宋体"/>
                <w:color w:val="auto"/>
                <w:sz w:val="22"/>
                <w:highlight w:val="none"/>
              </w:rPr>
              <w:t>□组织</w:t>
            </w:r>
            <w:r>
              <w:rPr>
                <w:rFonts w:ascii="宋体"/>
                <w:color w:val="auto"/>
                <w:sz w:val="22"/>
                <w:highlight w:val="none"/>
              </w:rPr>
              <w:t xml:space="preserve">   </w:t>
            </w:r>
          </w:p>
        </w:tc>
      </w:tr>
      <w:tr w14:paraId="1CBF1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357447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BC231C9">
            <w:pPr>
              <w:adjustRightInd w:val="0"/>
              <w:jc w:val="center"/>
              <w:rPr>
                <w:rFonts w:ascii="宋体"/>
                <w:color w:val="auto"/>
                <w:sz w:val="22"/>
                <w:highlight w:val="none"/>
              </w:rPr>
            </w:pPr>
            <w:r>
              <w:rPr>
                <w:rFonts w:hint="eastAsia" w:ascii="宋体"/>
                <w:color w:val="auto"/>
                <w:sz w:val="22"/>
                <w:highlight w:val="none"/>
              </w:rPr>
              <w:t>是否允许递交备选投标方案</w:t>
            </w:r>
          </w:p>
        </w:tc>
        <w:tc>
          <w:tcPr>
            <w:tcW w:w="7619" w:type="dxa"/>
            <w:vAlign w:val="center"/>
          </w:tcPr>
          <w:p w14:paraId="10A3DAE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ascii="宋体"/>
                <w:color w:val="auto"/>
                <w:sz w:val="22"/>
                <w:highlight w:val="none"/>
              </w:rPr>
              <w:t xml:space="preserve"> </w:t>
            </w:r>
            <w:r>
              <w:rPr>
                <w:rFonts w:hint="eastAsia" w:ascii="宋体"/>
                <w:color w:val="auto"/>
                <w:sz w:val="22"/>
                <w:highlight w:val="none"/>
              </w:rPr>
              <w:t>不允许</w:t>
            </w:r>
          </w:p>
          <w:p w14:paraId="1CFFD152">
            <w:pPr>
              <w:adjustRightInd w:val="0"/>
              <w:rPr>
                <w:rFonts w:ascii="宋体" w:cs="??_GB2312"/>
                <w:color w:val="auto"/>
                <w:sz w:val="22"/>
                <w:highlight w:val="none"/>
              </w:rPr>
            </w:pPr>
            <w:r>
              <w:rPr>
                <w:rFonts w:hint="eastAsia" w:ascii="宋体"/>
                <w:color w:val="auto"/>
                <w:sz w:val="22"/>
                <w:highlight w:val="none"/>
              </w:rPr>
              <w:t>□</w:t>
            </w:r>
            <w:r>
              <w:rPr>
                <w:rFonts w:ascii="宋体"/>
                <w:color w:val="auto"/>
                <w:sz w:val="22"/>
                <w:highlight w:val="none"/>
              </w:rPr>
              <w:t xml:space="preserve"> </w:t>
            </w:r>
            <w:r>
              <w:rPr>
                <w:rFonts w:hint="eastAsia" w:ascii="宋体"/>
                <w:color w:val="auto"/>
                <w:sz w:val="22"/>
                <w:highlight w:val="none"/>
              </w:rPr>
              <w:t>允许</w:t>
            </w:r>
          </w:p>
        </w:tc>
      </w:tr>
      <w:tr w14:paraId="73094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28D1DC48">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B79A125">
            <w:pPr>
              <w:adjustRightInd w:val="0"/>
              <w:jc w:val="center"/>
              <w:rPr>
                <w:rFonts w:ascii="宋体"/>
                <w:color w:val="auto"/>
                <w:sz w:val="22"/>
                <w:highlight w:val="none"/>
              </w:rPr>
            </w:pPr>
            <w:r>
              <w:rPr>
                <w:rFonts w:hint="eastAsia" w:ascii="宋体"/>
                <w:color w:val="auto"/>
                <w:sz w:val="22"/>
                <w:highlight w:val="none"/>
              </w:rPr>
              <w:t>投标货币</w:t>
            </w:r>
          </w:p>
        </w:tc>
        <w:tc>
          <w:tcPr>
            <w:tcW w:w="7619" w:type="dxa"/>
            <w:vAlign w:val="center"/>
          </w:tcPr>
          <w:p w14:paraId="56642A69">
            <w:pPr>
              <w:adjustRightInd w:val="0"/>
              <w:rPr>
                <w:rFonts w:ascii="宋体"/>
                <w:color w:val="auto"/>
                <w:sz w:val="22"/>
                <w:highlight w:val="none"/>
              </w:rPr>
            </w:pPr>
            <w:r>
              <w:rPr>
                <w:rFonts w:hint="eastAsia" w:ascii="宋体"/>
                <w:color w:val="auto"/>
                <w:sz w:val="22"/>
                <w:highlight w:val="none"/>
              </w:rPr>
              <w:t>人民币</w:t>
            </w:r>
          </w:p>
        </w:tc>
      </w:tr>
      <w:tr w14:paraId="5C19E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7ED3E3D0">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052E87C">
            <w:pPr>
              <w:adjustRightInd w:val="0"/>
              <w:jc w:val="center"/>
              <w:rPr>
                <w:rFonts w:ascii="宋体"/>
                <w:color w:val="auto"/>
                <w:sz w:val="22"/>
                <w:highlight w:val="none"/>
              </w:rPr>
            </w:pPr>
            <w:r>
              <w:rPr>
                <w:rFonts w:hint="eastAsia" w:ascii="宋体"/>
                <w:color w:val="auto"/>
                <w:sz w:val="22"/>
                <w:highlight w:val="none"/>
              </w:rPr>
              <w:t>投标语言</w:t>
            </w:r>
          </w:p>
        </w:tc>
        <w:tc>
          <w:tcPr>
            <w:tcW w:w="7619" w:type="dxa"/>
            <w:vAlign w:val="center"/>
          </w:tcPr>
          <w:p w14:paraId="020250AD">
            <w:pPr>
              <w:adjustRightInd w:val="0"/>
              <w:rPr>
                <w:rFonts w:ascii="宋体"/>
                <w:color w:val="auto"/>
                <w:sz w:val="22"/>
                <w:highlight w:val="none"/>
              </w:rPr>
            </w:pPr>
            <w:r>
              <w:rPr>
                <w:rFonts w:hint="eastAsia" w:ascii="宋体"/>
                <w:color w:val="auto"/>
                <w:sz w:val="22"/>
                <w:highlight w:val="none"/>
              </w:rPr>
              <w:t>中文</w:t>
            </w:r>
          </w:p>
        </w:tc>
      </w:tr>
      <w:tr w14:paraId="07893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7D9BD6A4">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E89F246">
            <w:pPr>
              <w:jc w:val="center"/>
              <w:rPr>
                <w:rFonts w:ascii="宋体" w:cs="Arial"/>
                <w:color w:val="auto"/>
                <w:sz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031C579B">
            <w:pPr>
              <w:autoSpaceDE w:val="0"/>
              <w:autoSpaceDN w:val="0"/>
              <w:adjustRightInd w:val="0"/>
              <w:jc w:val="left"/>
              <w:rPr>
                <w:rFonts w:ascii="宋体" w:hAnsi="宋体" w:eastAsia="宋体" w:cs="宋体"/>
                <w:color w:val="auto"/>
                <w:sz w:val="22"/>
                <w:highlight w:val="none"/>
                <w:lang w:val="zh-CN"/>
              </w:rPr>
            </w:pPr>
            <w:r>
              <w:rPr>
                <w:rFonts w:ascii="宋体" w:hAnsi="宋体" w:eastAsia="宋体" w:cs="宋体"/>
                <w:color w:val="auto"/>
                <w:sz w:val="22"/>
                <w:highlight w:val="none"/>
                <w:lang w:val="zh-CN"/>
              </w:rPr>
              <w:t>1、</w:t>
            </w:r>
            <w:r>
              <w:rPr>
                <w:rFonts w:ascii="宋体" w:hAnsi="宋体" w:eastAsia="宋体" w:cs="宋体"/>
                <w:b/>
                <w:bCs/>
                <w:color w:val="auto"/>
                <w:sz w:val="22"/>
                <w:highlight w:val="none"/>
                <w:lang w:val="zh-CN"/>
              </w:rPr>
              <w:t>投标文件组成：</w:t>
            </w:r>
            <w:r>
              <w:rPr>
                <w:rFonts w:ascii="宋体" w:hAnsi="宋体" w:eastAsia="宋体" w:cs="宋体"/>
                <w:color w:val="auto"/>
                <w:sz w:val="22"/>
                <w:highlight w:val="none"/>
                <w:lang w:val="zh-CN"/>
              </w:rPr>
              <w:t>《资格文件》及《商务技术文件》和《报价文件》。</w:t>
            </w:r>
          </w:p>
          <w:p w14:paraId="46948749">
            <w:pPr>
              <w:rPr>
                <w:rFonts w:ascii="宋体" w:hAnsi="宋体" w:eastAsia="宋体" w:cs="宋体"/>
                <w:color w:val="auto"/>
                <w:sz w:val="22"/>
                <w:highlight w:val="none"/>
              </w:rPr>
            </w:pPr>
            <w:r>
              <w:rPr>
                <w:rFonts w:ascii="宋体" w:hAnsi="宋体" w:eastAsia="宋体" w:cs="宋体"/>
                <w:color w:val="auto"/>
                <w:sz w:val="22"/>
                <w:highlight w:val="none"/>
              </w:rPr>
              <w:t>2、</w:t>
            </w:r>
            <w:r>
              <w:rPr>
                <w:rFonts w:ascii="宋体" w:hAnsi="宋体" w:eastAsia="宋体" w:cs="宋体"/>
                <w:b/>
                <w:bCs/>
                <w:color w:val="auto"/>
                <w:sz w:val="22"/>
                <w:highlight w:val="none"/>
              </w:rPr>
              <w:t>投标文件编制：</w:t>
            </w:r>
            <w:r>
              <w:rPr>
                <w:rFonts w:ascii="宋体" w:hAnsi="宋体" w:eastAsia="宋体" w:cs="宋体"/>
                <w:color w:val="auto"/>
                <w:sz w:val="22"/>
                <w:highlight w:val="none"/>
              </w:rPr>
              <w:t>供应商应先安装“政采云电子交易客户端”，并按照本采购文件和“政府采购云平台”的要求，通过“政采云电子交易客户端”编制并加密投标文件。</w:t>
            </w:r>
          </w:p>
          <w:p w14:paraId="26835086">
            <w:pPr>
              <w:rPr>
                <w:rFonts w:ascii="宋体" w:hAnsi="宋体" w:eastAsia="宋体" w:cs="宋体"/>
                <w:color w:val="auto"/>
                <w:sz w:val="22"/>
                <w:highlight w:val="none"/>
              </w:rPr>
            </w:pPr>
            <w:r>
              <w:rPr>
                <w:rFonts w:ascii="宋体" w:hAnsi="宋体" w:eastAsia="宋体" w:cs="宋体"/>
                <w:color w:val="auto"/>
                <w:sz w:val="22"/>
                <w:highlight w:val="none"/>
              </w:rPr>
              <w:t>3、</w:t>
            </w:r>
            <w:r>
              <w:rPr>
                <w:rFonts w:ascii="宋体" w:hAnsi="宋体" w:eastAsia="宋体" w:cs="宋体"/>
                <w:b/>
                <w:bCs/>
                <w:color w:val="auto"/>
                <w:sz w:val="22"/>
                <w:highlight w:val="none"/>
              </w:rPr>
              <w:t>投标文件的签章：</w:t>
            </w:r>
            <w:r>
              <w:rPr>
                <w:rFonts w:ascii="宋体" w:hAnsi="宋体" w:eastAsia="宋体" w:cs="宋体"/>
                <w:color w:val="auto"/>
                <w:sz w:val="22"/>
                <w:highlight w:val="none"/>
              </w:rPr>
              <w:t>电子签章。</w:t>
            </w:r>
          </w:p>
          <w:p w14:paraId="70213E5F">
            <w:pPr>
              <w:rPr>
                <w:rFonts w:ascii="宋体" w:hAnsi="宋体" w:eastAsia="宋体" w:cs="宋体"/>
                <w:color w:val="auto"/>
                <w:sz w:val="22"/>
                <w:highlight w:val="none"/>
                <w:lang w:bidi="ar"/>
              </w:rPr>
            </w:pPr>
            <w:r>
              <w:rPr>
                <w:rFonts w:ascii="宋体" w:hAnsi="宋体" w:eastAsia="宋体" w:cs="宋体"/>
                <w:color w:val="auto"/>
                <w:sz w:val="22"/>
                <w:highlight w:val="none"/>
              </w:rPr>
              <w:t>4、</w:t>
            </w:r>
            <w:r>
              <w:rPr>
                <w:rFonts w:ascii="宋体" w:hAnsi="宋体" w:eastAsia="宋体" w:cs="宋体"/>
                <w:b/>
                <w:bCs/>
                <w:color w:val="auto"/>
                <w:sz w:val="22"/>
                <w:highlight w:val="none"/>
              </w:rPr>
              <w:t>投标文件的形式：</w:t>
            </w:r>
            <w:r>
              <w:rPr>
                <w:rFonts w:ascii="Segoe UI Symbol" w:hAnsi="Segoe UI Symbol" w:eastAsia="宋体" w:cs="Segoe UI Symbol"/>
                <w:color w:val="auto"/>
                <w:sz w:val="22"/>
                <w:highlight w:val="none"/>
              </w:rPr>
              <w:t>☑</w:t>
            </w:r>
            <w:r>
              <w:rPr>
                <w:rFonts w:ascii="宋体" w:hAnsi="宋体" w:eastAsia="宋体" w:cs="宋体"/>
                <w:color w:val="auto"/>
                <w:sz w:val="22"/>
                <w:highlight w:val="none"/>
              </w:rPr>
              <w:t>电子投标文件（包括“</w:t>
            </w:r>
            <w:r>
              <w:rPr>
                <w:rFonts w:ascii="宋体" w:hAnsi="宋体" w:eastAsia="宋体" w:cs="宋体"/>
                <w:color w:val="auto"/>
                <w:sz w:val="22"/>
                <w:highlight w:val="none"/>
                <w:lang w:bidi="ar"/>
              </w:rPr>
              <w:t>电子加密投标文件”）；</w:t>
            </w:r>
          </w:p>
          <w:p w14:paraId="63E3DC22">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“电子加密投标文件”是指通过“政采云电子交易客户端”完成投标文件编制后生成并加密的数据电文形式的投标文件。</w:t>
            </w:r>
          </w:p>
          <w:p w14:paraId="542F4796">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5、</w:t>
            </w:r>
            <w:r>
              <w:rPr>
                <w:rFonts w:ascii="宋体" w:hAnsi="宋体" w:eastAsia="宋体" w:cs="宋体"/>
                <w:b/>
                <w:bCs/>
                <w:color w:val="auto"/>
                <w:sz w:val="22"/>
                <w:highlight w:val="none"/>
                <w:lang w:bidi="ar"/>
              </w:rPr>
              <w:t>投标文件份数：</w:t>
            </w:r>
            <w:r>
              <w:rPr>
                <w:rFonts w:ascii="宋体" w:hAnsi="宋体" w:eastAsia="宋体" w:cs="宋体"/>
                <w:color w:val="auto"/>
                <w:sz w:val="22"/>
                <w:highlight w:val="none"/>
                <w:lang w:bidi="ar"/>
              </w:rPr>
              <w:t>“电子加密投标文件”：在线上传递交。</w:t>
            </w:r>
          </w:p>
          <w:p w14:paraId="7D954C79">
            <w:pPr>
              <w:rPr>
                <w:rFonts w:ascii="宋体" w:hAnsi="宋体" w:eastAsia="宋体" w:cs="宋体"/>
                <w:b/>
                <w:bCs/>
                <w:color w:val="auto"/>
                <w:sz w:val="22"/>
                <w:highlight w:val="none"/>
                <w:lang w:bidi="ar"/>
              </w:rPr>
            </w:pPr>
            <w:r>
              <w:rPr>
                <w:rFonts w:ascii="宋体" w:hAnsi="宋体" w:eastAsia="宋体" w:cs="宋体"/>
                <w:color w:val="auto"/>
                <w:sz w:val="22"/>
                <w:highlight w:val="none"/>
                <w:lang w:bidi="ar"/>
              </w:rPr>
              <w:t>6、</w:t>
            </w:r>
            <w:r>
              <w:rPr>
                <w:rFonts w:ascii="宋体" w:hAnsi="宋体" w:eastAsia="宋体" w:cs="宋体"/>
                <w:b/>
                <w:bCs/>
                <w:color w:val="auto"/>
                <w:sz w:val="22"/>
                <w:highlight w:val="none"/>
                <w:lang w:bidi="ar"/>
              </w:rPr>
              <w:t>投标文件的上传和递交：</w:t>
            </w:r>
          </w:p>
          <w:p w14:paraId="5904BEAD">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“电子加密投标文件”的上传、递交：</w:t>
            </w:r>
          </w:p>
          <w:p w14:paraId="6CF73BC1">
            <w:pPr>
              <w:rPr>
                <w:rFonts w:ascii="宋体" w:hAnsi="宋体" w:eastAsia="宋体" w:cs="宋体"/>
                <w:color w:val="auto"/>
                <w:sz w:val="22"/>
                <w:highlight w:val="none"/>
                <w:lang w:bidi="ar"/>
              </w:rPr>
            </w:pPr>
            <w:r>
              <w:rPr>
                <w:rFonts w:ascii="宋体" w:hAnsi="宋体" w:eastAsia="宋体" w:cs="宋体"/>
                <w:color w:val="auto"/>
                <w:sz w:val="22"/>
                <w:highlight w:val="none"/>
                <w:lang w:bidi="ar"/>
              </w:rPr>
              <w:t>a.供应商应在投标截止时间前将“电子加密投标文件”成功上传递交至“政府采购云平台”，否则投标无效。</w:t>
            </w:r>
          </w:p>
          <w:p w14:paraId="7B9D5705">
            <w:pPr>
              <w:rPr>
                <w:rFonts w:ascii="宋体" w:hAnsi="宋体" w:eastAsia="宋体" w:cs="宋体"/>
                <w:color w:val="auto"/>
                <w:sz w:val="22"/>
                <w:highlight w:val="none"/>
                <w:lang w:bidi="ar"/>
              </w:rPr>
            </w:pPr>
            <w:r>
              <w:rPr>
                <w:rFonts w:ascii="宋体" w:hAnsi="宋体" w:eastAsia="宋体" w:cs="宋体"/>
                <w:color w:val="auto"/>
                <w:sz w:val="22"/>
                <w:highlight w:val="none"/>
                <w:lang w:bidi="ar"/>
              </w:rPr>
              <w:t>b.“电子加密投标文件”成功上传递交后，供应商可自行打印投标文件接收回执。</w:t>
            </w:r>
          </w:p>
          <w:p w14:paraId="4F8CC29B">
            <w:pPr>
              <w:rPr>
                <w:rFonts w:ascii="宋体" w:hAnsi="宋体" w:eastAsia="宋体" w:cs="宋体"/>
                <w:b/>
                <w:bCs/>
                <w:color w:val="auto"/>
                <w:sz w:val="22"/>
                <w:highlight w:val="none"/>
                <w:lang w:bidi="ar"/>
              </w:rPr>
            </w:pPr>
            <w:r>
              <w:rPr>
                <w:rFonts w:ascii="宋体" w:hAnsi="宋体" w:eastAsia="宋体" w:cs="宋体"/>
                <w:b/>
                <w:bCs/>
                <w:color w:val="auto"/>
                <w:sz w:val="22"/>
                <w:highlight w:val="none"/>
                <w:lang w:bidi="ar"/>
              </w:rPr>
              <w:t>7、电子加密投标文件的解密和异常情况处理：</w:t>
            </w:r>
          </w:p>
          <w:p w14:paraId="6A9DD116">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6140113">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（2）通过“政府采购云平台”成功上传递交的“电子加密投标文件”无法按时解密，否则视为投标文件撤回。</w:t>
            </w:r>
          </w:p>
          <w:p w14:paraId="6CE8E481">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w:t>
            </w:r>
            <w:r>
              <w:rPr>
                <w:rFonts w:hint="eastAsia" w:ascii="宋体" w:hAnsi="宋体" w:eastAsia="宋体" w:cs="宋体"/>
                <w:color w:val="auto"/>
                <w:sz w:val="22"/>
                <w:highlight w:val="none"/>
                <w:lang w:bidi="ar"/>
              </w:rPr>
              <w:t>3</w:t>
            </w:r>
            <w:r>
              <w:rPr>
                <w:rFonts w:ascii="宋体" w:hAnsi="宋体" w:eastAsia="宋体" w:cs="宋体"/>
                <w:color w:val="auto"/>
                <w:sz w:val="22"/>
                <w:highlight w:val="none"/>
                <w:lang w:bidi="ar"/>
              </w:rPr>
              <w:t>）投标截止后，在投标有效期内，供应商不能撤销投标文件。</w:t>
            </w:r>
          </w:p>
          <w:p w14:paraId="618F4C94">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8、投标截止后，在投标有效期内，供应商不能撤销投标文件</w:t>
            </w:r>
          </w:p>
          <w:p w14:paraId="4F4BC830">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9、</w:t>
            </w:r>
            <w:r>
              <w:rPr>
                <w:rFonts w:hint="eastAsia" w:ascii="宋体" w:hAnsi="宋体"/>
                <w:color w:val="auto"/>
                <w:sz w:val="22"/>
                <w:highlight w:val="none"/>
              </w:rPr>
              <w:t>供应商放弃成交或拒绝与采购单位签订合同的</w:t>
            </w:r>
            <w:r>
              <w:rPr>
                <w:rFonts w:ascii="宋体"/>
                <w:color w:val="auto"/>
                <w:sz w:val="22"/>
                <w:highlight w:val="none"/>
              </w:rPr>
              <w:t>,</w:t>
            </w:r>
            <w:r>
              <w:rPr>
                <w:rFonts w:hint="eastAsia"/>
                <w:color w:val="auto"/>
                <w:highlight w:val="none"/>
              </w:rPr>
              <w:t>按相关法律进行处理</w:t>
            </w:r>
            <w:r>
              <w:rPr>
                <w:rFonts w:hint="eastAsia" w:ascii="宋体" w:hAnsi="宋体"/>
                <w:color w:val="auto"/>
                <w:sz w:val="22"/>
                <w:highlight w:val="none"/>
              </w:rPr>
              <w:t>，原则上重新开展政府采购活动。</w:t>
            </w:r>
          </w:p>
          <w:p w14:paraId="784C1C4A">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10、存在下列行为的，招标代理机构将其失信行为上报政府采购主管部门，由主管部门按有关规定对其违法失信行为记录进行公开：</w:t>
            </w:r>
          </w:p>
          <w:p w14:paraId="0A00E563">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（1）中标或者成交后，拒绝签订政府采购合同的；</w:t>
            </w:r>
          </w:p>
          <w:p w14:paraId="1967B6BD">
            <w:pPr>
              <w:snapToGrid w:val="0"/>
              <w:rPr>
                <w:color w:val="auto"/>
                <w:sz w:val="22"/>
                <w:szCs w:val="22"/>
                <w:highlight w:val="none"/>
              </w:rPr>
            </w:pPr>
            <w:r>
              <w:rPr>
                <w:rFonts w:hAnsi="宋体" w:eastAsia="宋体" w:cs="宋体"/>
                <w:color w:val="auto"/>
                <w:highlight w:val="none"/>
                <w:lang w:bidi="ar"/>
              </w:rPr>
              <w:t>（2）</w:t>
            </w:r>
            <w:r>
              <w:rPr>
                <w:rFonts w:ascii="宋体" w:hAnsi="宋体" w:eastAsia="宋体" w:cs="宋体"/>
                <w:color w:val="auto"/>
                <w:sz w:val="22"/>
                <w:highlight w:val="none"/>
                <w:lang w:bidi="ar"/>
              </w:rPr>
              <w:t>投标有效期内撤销投标文件的</w:t>
            </w:r>
            <w:r>
              <w:rPr>
                <w:rFonts w:hint="eastAsia" w:ascii="宋体" w:hAnsi="宋体" w:eastAsia="宋体" w:cs="宋体"/>
                <w:color w:val="auto"/>
                <w:sz w:val="22"/>
                <w:highlight w:val="none"/>
                <w:lang w:bidi="ar"/>
              </w:rPr>
              <w:t>。</w:t>
            </w:r>
          </w:p>
        </w:tc>
      </w:tr>
      <w:tr w14:paraId="60972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5E9B635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A32934B">
            <w:pPr>
              <w:adjustRightInd w:val="0"/>
              <w:jc w:val="center"/>
              <w:rPr>
                <w:rFonts w:ascii="宋体"/>
                <w:color w:val="auto"/>
                <w:sz w:val="22"/>
                <w:highlight w:val="none"/>
              </w:rPr>
            </w:pPr>
            <w:r>
              <w:rPr>
                <w:rFonts w:hint="eastAsia" w:ascii="宋体"/>
                <w:color w:val="auto"/>
                <w:sz w:val="22"/>
                <w:highlight w:val="none"/>
              </w:rPr>
              <w:t>投标样品</w:t>
            </w:r>
          </w:p>
        </w:tc>
        <w:tc>
          <w:tcPr>
            <w:tcW w:w="7619" w:type="dxa"/>
            <w:vAlign w:val="center"/>
          </w:tcPr>
          <w:p w14:paraId="72BC3A6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不需要</w:t>
            </w:r>
          </w:p>
          <w:p w14:paraId="049A06E2">
            <w:pPr>
              <w:adjustRightInd w:val="0"/>
              <w:rPr>
                <w:rFonts w:ascii="宋体"/>
                <w:color w:val="auto"/>
                <w:sz w:val="22"/>
                <w:highlight w:val="none"/>
              </w:rPr>
            </w:pPr>
            <w:r>
              <w:rPr>
                <w:rFonts w:hint="eastAsia" w:ascii="宋体"/>
                <w:color w:val="auto"/>
                <w:sz w:val="22"/>
                <w:highlight w:val="none"/>
              </w:rPr>
              <w:t>□需要</w:t>
            </w:r>
          </w:p>
        </w:tc>
      </w:tr>
      <w:tr w14:paraId="436E0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C2FC4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AA80872">
            <w:pPr>
              <w:adjustRightInd w:val="0"/>
              <w:jc w:val="center"/>
              <w:rPr>
                <w:rFonts w:ascii="宋体"/>
                <w:color w:val="auto"/>
                <w:sz w:val="22"/>
                <w:highlight w:val="none"/>
              </w:rPr>
            </w:pPr>
            <w:r>
              <w:rPr>
                <w:rFonts w:hint="eastAsia" w:ascii="宋体"/>
                <w:color w:val="auto"/>
                <w:sz w:val="22"/>
                <w:highlight w:val="none"/>
              </w:rPr>
              <w:t>履约担保</w:t>
            </w:r>
          </w:p>
        </w:tc>
        <w:tc>
          <w:tcPr>
            <w:tcW w:w="7619" w:type="dxa"/>
            <w:vAlign w:val="center"/>
          </w:tcPr>
          <w:p w14:paraId="3EC24DA3">
            <w:pPr>
              <w:adjustRightInd w:val="0"/>
              <w:rPr>
                <w:rFonts w:ascii="宋体"/>
                <w:color w:val="auto"/>
                <w:sz w:val="22"/>
                <w:highlight w:val="none"/>
              </w:rPr>
            </w:pPr>
            <w:r>
              <w:rPr>
                <w:rFonts w:hint="eastAsia" w:ascii="宋体"/>
                <w:color w:val="auto"/>
                <w:sz w:val="22"/>
                <w:highlight w:val="none"/>
                <w:lang w:eastAsia="zh-CN"/>
              </w:rPr>
              <w:t>□</w:t>
            </w:r>
            <w:r>
              <w:rPr>
                <w:rFonts w:hint="eastAsia" w:ascii="宋体"/>
                <w:color w:val="auto"/>
                <w:sz w:val="22"/>
                <w:highlight w:val="none"/>
              </w:rPr>
              <w:t>不需要</w:t>
            </w:r>
          </w:p>
          <w:p w14:paraId="0958B086">
            <w:pPr>
              <w:adjustRightInd w:val="0"/>
              <w:rPr>
                <w:rFonts w:hint="eastAsia" w:ascii="宋体" w:eastAsiaTheme="minorEastAsia"/>
                <w:color w:val="auto"/>
                <w:sz w:val="22"/>
                <w:highlight w:val="none"/>
                <w:lang w:eastAsia="zh-CN"/>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hint="eastAsia" w:ascii="宋体"/>
                <w:color w:val="auto"/>
                <w:sz w:val="22"/>
                <w:highlight w:val="none"/>
                <w:lang w:eastAsia="zh-CN"/>
              </w:rPr>
              <w:instrText xml:space="preserve">,</w:instrText>
            </w:r>
            <w:r>
              <w:rPr>
                <w:rFonts w:hint="eastAsia" w:ascii="宋体"/>
                <w:color w:val="auto"/>
                <w:position w:val="2"/>
                <w:sz w:val="15"/>
                <w:highlight w:val="none"/>
                <w:lang w:eastAsia="zh-CN"/>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需要</w:t>
            </w:r>
            <w:r>
              <w:rPr>
                <w:rFonts w:hint="eastAsia" w:ascii="宋体"/>
                <w:color w:val="auto"/>
                <w:sz w:val="22"/>
                <w:highlight w:val="none"/>
                <w:lang w:eastAsia="zh-CN"/>
              </w:rPr>
              <w:t>：合同总价的1％作为履约保证金，签订合同后5个工作日内由成交人交入采购人帐户（履约保证金可以以银行转账、由银行或保险公司出具的保函保单等形式），待项目全部内容验收合格后的7个工作日内由采购人退还成交人。</w:t>
            </w:r>
          </w:p>
        </w:tc>
      </w:tr>
      <w:tr w14:paraId="63DA9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5ABCAF1">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CE28963">
            <w:pPr>
              <w:jc w:val="center"/>
              <w:rPr>
                <w:rFonts w:ascii="宋体" w:cs="Arial"/>
                <w:color w:val="auto"/>
                <w:sz w:val="22"/>
                <w:highlight w:val="none"/>
              </w:rPr>
            </w:pPr>
            <w:r>
              <w:rPr>
                <w:rFonts w:hint="eastAsia" w:ascii="宋体" w:cs="Arial"/>
                <w:color w:val="auto"/>
                <w:sz w:val="22"/>
                <w:highlight w:val="none"/>
              </w:rPr>
              <w:t>竞争性磋商文件获取方式</w:t>
            </w:r>
          </w:p>
        </w:tc>
        <w:tc>
          <w:tcPr>
            <w:tcW w:w="7619" w:type="dxa"/>
            <w:vAlign w:val="center"/>
          </w:tcPr>
          <w:p w14:paraId="56442A56">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自本公告公布日起至投标文件递交截止时间前，均可获取招标文件，公告附件中的招标文件仅供阅读，招标文件合法获取方式如下：</w:t>
            </w:r>
          </w:p>
          <w:p w14:paraId="666753BC">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①供应商登陆政采云账户（网址：http://www.zjzfcg.gov.cn/）找到本项目后点击获取采购文件；</w:t>
            </w:r>
          </w:p>
          <w:p w14:paraId="04685E4C">
            <w:pPr>
              <w:adjustRightInd w:val="0"/>
              <w:spacing w:line="280" w:lineRule="exact"/>
              <w:rPr>
                <w:rFonts w:ascii="宋体" w:cs="Arial"/>
                <w:color w:val="auto"/>
                <w:sz w:val="22"/>
                <w:highlight w:val="none"/>
              </w:rPr>
            </w:pPr>
            <w:r>
              <w:rPr>
                <w:rFonts w:ascii="宋体" w:hAnsi="宋体" w:eastAsia="宋体"/>
                <w:color w:val="auto"/>
                <w:sz w:val="22"/>
                <w:highlight w:val="none"/>
              </w:rPr>
              <w:t>②另本项目采购文件同时发布在泰顺县人民政府网-县公共资源交易平台（网址：http://www.ts.gov.cn/col/col1383420/index.html）。</w:t>
            </w:r>
          </w:p>
        </w:tc>
      </w:tr>
      <w:tr w14:paraId="29D8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70AA624">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441B4D2">
            <w:pPr>
              <w:jc w:val="center"/>
              <w:rPr>
                <w:rFonts w:ascii="宋体" w:cs="Arial"/>
                <w:color w:val="auto"/>
                <w:sz w:val="22"/>
                <w:highlight w:val="none"/>
              </w:rPr>
            </w:pPr>
            <w:r>
              <w:rPr>
                <w:rFonts w:hint="eastAsia" w:ascii="宋体" w:cs="Arial"/>
                <w:color w:val="auto"/>
                <w:sz w:val="22"/>
                <w:highlight w:val="none"/>
              </w:rPr>
              <w:t>投标截止时间</w:t>
            </w:r>
          </w:p>
        </w:tc>
        <w:tc>
          <w:tcPr>
            <w:tcW w:w="7619" w:type="dxa"/>
            <w:vAlign w:val="center"/>
          </w:tcPr>
          <w:p w14:paraId="20DFEAD9">
            <w:pPr>
              <w:rPr>
                <w:rFonts w:ascii="宋体" w:cs="Arial"/>
                <w:color w:val="auto"/>
                <w:sz w:val="22"/>
                <w:highlight w:val="none"/>
              </w:rPr>
            </w:pPr>
            <w:r>
              <w:rPr>
                <w:rFonts w:hint="eastAsia" w:hAnsi="宋体"/>
                <w:b/>
                <w:color w:val="auto"/>
                <w:sz w:val="22"/>
                <w:highlight w:val="none"/>
                <w:lang w:eastAsia="zh-CN"/>
              </w:rPr>
              <w:t>2025年12月</w:t>
            </w:r>
            <w:r>
              <w:rPr>
                <w:rFonts w:hint="eastAsia" w:hAnsi="宋体"/>
                <w:b/>
                <w:color w:val="auto"/>
                <w:sz w:val="22"/>
                <w:highlight w:val="none"/>
                <w:lang w:val="en-US" w:eastAsia="zh-CN"/>
              </w:rPr>
              <w:t>12</w:t>
            </w:r>
            <w:r>
              <w:rPr>
                <w:rFonts w:hint="eastAsia" w:hAnsi="宋体"/>
                <w:b/>
                <w:color w:val="auto"/>
                <w:sz w:val="22"/>
                <w:highlight w:val="none"/>
                <w:lang w:eastAsia="zh-CN"/>
              </w:rPr>
              <w:t>日</w:t>
            </w:r>
            <w:r>
              <w:rPr>
                <w:rFonts w:hint="eastAsia" w:hAnsi="宋体"/>
                <w:b/>
                <w:color w:val="auto"/>
                <w:sz w:val="22"/>
                <w:highlight w:val="none"/>
                <w:lang w:val="en-US" w:eastAsia="zh-CN"/>
              </w:rPr>
              <w:t>09</w:t>
            </w:r>
            <w:r>
              <w:rPr>
                <w:rFonts w:hint="eastAsia" w:hAnsi="宋体"/>
                <w:b/>
                <w:color w:val="auto"/>
                <w:sz w:val="22"/>
                <w:highlight w:val="none"/>
              </w:rPr>
              <w:t>点00分</w:t>
            </w:r>
            <w:r>
              <w:rPr>
                <w:rFonts w:hint="eastAsia" w:ascii="新宋体" w:hAnsi="新宋体" w:eastAsia="新宋体"/>
                <w:color w:val="auto"/>
                <w:sz w:val="22"/>
                <w:highlight w:val="none"/>
              </w:rPr>
              <w:t>截</w:t>
            </w:r>
            <w:r>
              <w:rPr>
                <w:rFonts w:hint="eastAsia" w:ascii="宋体" w:cs="Arial"/>
                <w:color w:val="auto"/>
                <w:sz w:val="22"/>
                <w:highlight w:val="none"/>
              </w:rPr>
              <w:t>止</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r>
              <w:rPr>
                <w:rFonts w:hint="eastAsia" w:ascii="宋体" w:cs="Arial"/>
                <w:color w:val="auto"/>
                <w:sz w:val="22"/>
                <w:highlight w:val="none"/>
              </w:rPr>
              <w:t>。</w:t>
            </w:r>
          </w:p>
        </w:tc>
      </w:tr>
      <w:tr w14:paraId="08405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F86B9F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C173AD1">
            <w:pPr>
              <w:jc w:val="center"/>
              <w:rPr>
                <w:rFonts w:ascii="宋体" w:cs="Arial"/>
                <w:color w:val="auto"/>
                <w:sz w:val="22"/>
                <w:highlight w:val="none"/>
              </w:rPr>
            </w:pPr>
            <w:r>
              <w:rPr>
                <w:rFonts w:hint="eastAsia" w:ascii="宋体"/>
                <w:color w:val="auto"/>
                <w:sz w:val="22"/>
                <w:highlight w:val="none"/>
              </w:rPr>
              <w:t>投标文件递交地点</w:t>
            </w:r>
          </w:p>
        </w:tc>
        <w:tc>
          <w:tcPr>
            <w:tcW w:w="7619" w:type="dxa"/>
            <w:vAlign w:val="center"/>
          </w:tcPr>
          <w:p w14:paraId="5A18A885">
            <w:pPr>
              <w:rPr>
                <w:rFonts w:ascii="宋体" w:cs="Arial"/>
                <w:color w:val="auto"/>
                <w:sz w:val="22"/>
                <w:highlight w:val="none"/>
              </w:rPr>
            </w:pPr>
            <w:r>
              <w:rPr>
                <w:rFonts w:hint="eastAsia" w:hAnsi="宋体"/>
                <w:color w:val="auto"/>
                <w:sz w:val="22"/>
                <w:szCs w:val="22"/>
                <w:highlight w:val="none"/>
              </w:rPr>
              <w:t>通过“政府采购云平台（www.zcygov.cn）”实行在线投标响应</w:t>
            </w:r>
          </w:p>
        </w:tc>
      </w:tr>
      <w:tr w14:paraId="3783E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44F8F432">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2A9FCF2">
            <w:pPr>
              <w:jc w:val="center"/>
              <w:rPr>
                <w:rFonts w:ascii="宋体" w:cs="Arial"/>
                <w:color w:val="auto"/>
                <w:sz w:val="22"/>
                <w:highlight w:val="none"/>
              </w:rPr>
            </w:pPr>
            <w:r>
              <w:rPr>
                <w:rFonts w:hint="eastAsia" w:ascii="宋体" w:cs="Arial"/>
                <w:color w:val="auto"/>
                <w:sz w:val="22"/>
                <w:highlight w:val="none"/>
              </w:rPr>
              <w:t>开标时间</w:t>
            </w:r>
          </w:p>
          <w:p w14:paraId="5067CE10">
            <w:pPr>
              <w:jc w:val="center"/>
              <w:rPr>
                <w:rFonts w:ascii="宋体" w:cs="Arial"/>
                <w:color w:val="auto"/>
                <w:sz w:val="22"/>
                <w:highlight w:val="none"/>
              </w:rPr>
            </w:pPr>
            <w:r>
              <w:rPr>
                <w:rFonts w:hint="eastAsia" w:ascii="宋体" w:cs="Arial"/>
                <w:color w:val="auto"/>
                <w:sz w:val="22"/>
                <w:highlight w:val="none"/>
              </w:rPr>
              <w:t>开标地点</w:t>
            </w:r>
          </w:p>
        </w:tc>
        <w:tc>
          <w:tcPr>
            <w:tcW w:w="7619" w:type="dxa"/>
            <w:vAlign w:val="center"/>
          </w:tcPr>
          <w:p w14:paraId="68DD324E">
            <w:pPr>
              <w:rPr>
                <w:rFonts w:ascii="宋体" w:cs="Arial"/>
                <w:color w:val="auto"/>
                <w:sz w:val="22"/>
                <w:highlight w:val="none"/>
              </w:rPr>
            </w:pPr>
            <w:r>
              <w:rPr>
                <w:rFonts w:hint="eastAsia" w:ascii="宋体" w:cs="Arial"/>
                <w:color w:val="auto"/>
                <w:sz w:val="22"/>
                <w:highlight w:val="none"/>
              </w:rPr>
              <w:t>开标时间：</w:t>
            </w:r>
            <w:r>
              <w:rPr>
                <w:rFonts w:hint="eastAsia" w:hAnsi="宋体"/>
                <w:b/>
                <w:color w:val="auto"/>
                <w:sz w:val="22"/>
                <w:highlight w:val="none"/>
                <w:lang w:eastAsia="zh-CN"/>
              </w:rPr>
              <w:t>2025年12月</w:t>
            </w:r>
            <w:r>
              <w:rPr>
                <w:rFonts w:hint="eastAsia" w:hAnsi="宋体"/>
                <w:b/>
                <w:color w:val="auto"/>
                <w:sz w:val="22"/>
                <w:highlight w:val="none"/>
                <w:lang w:val="en-US" w:eastAsia="zh-CN"/>
              </w:rPr>
              <w:t>12</w:t>
            </w:r>
            <w:r>
              <w:rPr>
                <w:rFonts w:hint="eastAsia" w:hAnsi="宋体"/>
                <w:b/>
                <w:color w:val="auto"/>
                <w:sz w:val="22"/>
                <w:highlight w:val="none"/>
                <w:lang w:eastAsia="zh-CN"/>
              </w:rPr>
              <w:t>日</w:t>
            </w:r>
            <w:r>
              <w:rPr>
                <w:rFonts w:hint="eastAsia" w:hAnsi="宋体"/>
                <w:b/>
                <w:color w:val="auto"/>
                <w:sz w:val="22"/>
                <w:highlight w:val="none"/>
                <w:lang w:val="en-US" w:eastAsia="zh-CN"/>
              </w:rPr>
              <w:t>09</w:t>
            </w:r>
            <w:r>
              <w:rPr>
                <w:rFonts w:hint="eastAsia" w:hAnsi="宋体"/>
                <w:b/>
                <w:color w:val="auto"/>
                <w:sz w:val="22"/>
                <w:highlight w:val="none"/>
              </w:rPr>
              <w:t>点00分</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p>
          <w:p w14:paraId="648D1074">
            <w:pPr>
              <w:rPr>
                <w:rFonts w:ascii="宋体"/>
                <w:color w:val="auto"/>
                <w:sz w:val="22"/>
                <w:highlight w:val="none"/>
              </w:rPr>
            </w:pPr>
            <w:r>
              <w:rPr>
                <w:rFonts w:hint="eastAsia" w:hAnsi="宋体"/>
                <w:color w:val="auto"/>
                <w:sz w:val="22"/>
                <w:szCs w:val="22"/>
                <w:highlight w:val="none"/>
              </w:rPr>
              <w:t>通过“政府采购云平台（www.zcygov.cn）”实行在线投开启</w:t>
            </w:r>
          </w:p>
        </w:tc>
      </w:tr>
      <w:tr w14:paraId="27EDC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7D4F58AD">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84A573B">
            <w:pPr>
              <w:jc w:val="center"/>
              <w:rPr>
                <w:rFonts w:ascii="宋体" w:cs="Arial"/>
                <w:color w:val="auto"/>
                <w:sz w:val="22"/>
                <w:highlight w:val="none"/>
              </w:rPr>
            </w:pPr>
            <w:r>
              <w:rPr>
                <w:rFonts w:hint="eastAsia" w:ascii="宋体" w:cs="Arial"/>
                <w:color w:val="auto"/>
                <w:sz w:val="22"/>
                <w:highlight w:val="none"/>
              </w:rPr>
              <w:t>开标程序</w:t>
            </w:r>
          </w:p>
        </w:tc>
        <w:tc>
          <w:tcPr>
            <w:tcW w:w="7619" w:type="dxa"/>
            <w:vAlign w:val="center"/>
          </w:tcPr>
          <w:p w14:paraId="3B77591F">
            <w:pPr>
              <w:rPr>
                <w:rFonts w:ascii="宋体"/>
                <w:color w:val="auto"/>
                <w:sz w:val="22"/>
                <w:highlight w:val="none"/>
              </w:rPr>
            </w:pPr>
            <w:r>
              <w:rPr>
                <w:rFonts w:hint="eastAsia" w:ascii="宋体"/>
                <w:color w:val="auto"/>
                <w:sz w:val="22"/>
                <w:highlight w:val="none"/>
              </w:rPr>
              <w:t>（一）开标准备</w:t>
            </w:r>
          </w:p>
          <w:p w14:paraId="642183F4">
            <w:pPr>
              <w:rPr>
                <w:rFonts w:ascii="宋体"/>
                <w:color w:val="auto"/>
                <w:sz w:val="22"/>
                <w:highlight w:val="none"/>
              </w:rPr>
            </w:pPr>
            <w:r>
              <w:rPr>
                <w:rFonts w:hint="eastAsia" w:ascii="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A3294C1">
            <w:pPr>
              <w:rPr>
                <w:rFonts w:ascii="宋体"/>
                <w:color w:val="auto"/>
                <w:sz w:val="22"/>
                <w:highlight w:val="none"/>
              </w:rPr>
            </w:pPr>
            <w:r>
              <w:rPr>
                <w:rFonts w:hint="eastAsia" w:ascii="宋体"/>
                <w:color w:val="auto"/>
                <w:sz w:val="22"/>
                <w:highlight w:val="none"/>
              </w:rPr>
              <w:t>2、若磋商供应商在规定时间内无法解密或解密失败，投标无效。</w:t>
            </w:r>
          </w:p>
          <w:p w14:paraId="693A5C7F">
            <w:pPr>
              <w:rPr>
                <w:rFonts w:ascii="宋体"/>
                <w:color w:val="auto"/>
                <w:sz w:val="22"/>
                <w:highlight w:val="none"/>
              </w:rPr>
            </w:pPr>
            <w:r>
              <w:rPr>
                <w:rFonts w:hint="eastAsia" w:ascii="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47E1613">
            <w:pPr>
              <w:rPr>
                <w:rFonts w:ascii="宋体"/>
                <w:color w:val="auto"/>
                <w:sz w:val="22"/>
                <w:highlight w:val="none"/>
              </w:rPr>
            </w:pPr>
            <w:r>
              <w:rPr>
                <w:rFonts w:hint="eastAsia" w:ascii="宋体"/>
                <w:color w:val="auto"/>
                <w:sz w:val="22"/>
                <w:highlight w:val="none"/>
              </w:rPr>
              <w:t>（二）电子招投标开标及评审程序</w:t>
            </w:r>
          </w:p>
          <w:p w14:paraId="112AFD23">
            <w:pPr>
              <w:rPr>
                <w:rFonts w:ascii="宋体"/>
                <w:color w:val="auto"/>
                <w:sz w:val="22"/>
                <w:highlight w:val="none"/>
              </w:rPr>
            </w:pPr>
            <w:r>
              <w:rPr>
                <w:rFonts w:hint="eastAsia" w:ascii="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209F5D7F">
            <w:pPr>
              <w:rPr>
                <w:rFonts w:ascii="宋体"/>
                <w:color w:val="auto"/>
                <w:sz w:val="22"/>
                <w:highlight w:val="none"/>
              </w:rPr>
            </w:pPr>
            <w:r>
              <w:rPr>
                <w:rFonts w:hint="eastAsia" w:ascii="宋体"/>
                <w:color w:val="auto"/>
                <w:sz w:val="22"/>
                <w:highlight w:val="none"/>
              </w:rPr>
              <w:t>2、投标文件解密结束，开启响应文件，磋商小组对资格和商务技术响应文件进行评审；</w:t>
            </w:r>
          </w:p>
          <w:p w14:paraId="33A3346F">
            <w:pPr>
              <w:rPr>
                <w:rFonts w:ascii="宋体"/>
                <w:color w:val="auto"/>
                <w:sz w:val="22"/>
                <w:highlight w:val="none"/>
              </w:rPr>
            </w:pPr>
            <w:r>
              <w:rPr>
                <w:rFonts w:hint="eastAsia" w:ascii="宋体"/>
                <w:color w:val="auto"/>
                <w:sz w:val="22"/>
                <w:highlight w:val="none"/>
              </w:rPr>
              <w:t>3、供应商按签到的前后顺序决定磋商的顺序，就价格、服务等认为需要磋商的内容进行磋商，供应商逐家回答磋商小组的提问，响应人作出最终承诺和最终报价。</w:t>
            </w:r>
          </w:p>
          <w:p w14:paraId="1211CC16">
            <w:pPr>
              <w:rPr>
                <w:rFonts w:ascii="宋体"/>
                <w:color w:val="auto"/>
                <w:sz w:val="22"/>
                <w:highlight w:val="none"/>
              </w:rPr>
            </w:pPr>
            <w:r>
              <w:rPr>
                <w:rFonts w:hint="eastAsia" w:ascii="宋体"/>
                <w:color w:val="auto"/>
                <w:sz w:val="22"/>
                <w:highlight w:val="none"/>
              </w:rPr>
              <w:t>4、在系统上公开资格和商务技术评审结果；</w:t>
            </w:r>
          </w:p>
          <w:p w14:paraId="33AFB425">
            <w:pPr>
              <w:rPr>
                <w:rFonts w:ascii="宋体"/>
                <w:color w:val="auto"/>
                <w:sz w:val="22"/>
                <w:highlight w:val="none"/>
              </w:rPr>
            </w:pPr>
            <w:r>
              <w:rPr>
                <w:rFonts w:hint="eastAsia" w:ascii="宋体"/>
                <w:color w:val="auto"/>
                <w:sz w:val="22"/>
                <w:highlight w:val="none"/>
              </w:rPr>
              <w:t>5.在系统上录入最终报价情况；</w:t>
            </w:r>
          </w:p>
          <w:p w14:paraId="165FA51A">
            <w:pPr>
              <w:rPr>
                <w:rFonts w:ascii="宋体"/>
                <w:color w:val="auto"/>
                <w:sz w:val="22"/>
                <w:highlight w:val="none"/>
              </w:rPr>
            </w:pPr>
            <w:r>
              <w:rPr>
                <w:rFonts w:hint="eastAsia" w:ascii="宋体"/>
                <w:color w:val="auto"/>
                <w:sz w:val="22"/>
                <w:highlight w:val="none"/>
              </w:rPr>
              <w:t>6.磋商小组对报价情况进行评审；</w:t>
            </w:r>
          </w:p>
          <w:p w14:paraId="6181BA7C">
            <w:pPr>
              <w:rPr>
                <w:rFonts w:ascii="宋体"/>
                <w:color w:val="auto"/>
                <w:sz w:val="22"/>
                <w:highlight w:val="none"/>
              </w:rPr>
            </w:pPr>
            <w:r>
              <w:rPr>
                <w:rFonts w:hint="eastAsia" w:ascii="宋体"/>
                <w:color w:val="auto"/>
                <w:sz w:val="22"/>
                <w:highlight w:val="none"/>
              </w:rPr>
              <w:t>7.在系统上公布评审结果。</w:t>
            </w:r>
          </w:p>
          <w:p w14:paraId="7D238B31">
            <w:pPr>
              <w:rPr>
                <w:rFonts w:ascii="宋体"/>
                <w:color w:val="auto"/>
                <w:sz w:val="22"/>
                <w:highlight w:val="none"/>
              </w:rPr>
            </w:pPr>
            <w:r>
              <w:rPr>
                <w:rFonts w:hint="eastAsia" w:ascii="宋体"/>
                <w:b/>
                <w:bCs/>
                <w:color w:val="auto"/>
                <w:sz w:val="22"/>
                <w:highlight w:val="none"/>
              </w:rPr>
              <w:t>特别说明：政采云公司如对电子化开标及评审程序有调整的，按调整后的程序操作。</w:t>
            </w:r>
          </w:p>
        </w:tc>
      </w:tr>
      <w:tr w14:paraId="48FB1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7AE53CF">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DEF8CCC">
            <w:pPr>
              <w:jc w:val="center"/>
              <w:rPr>
                <w:rFonts w:ascii="宋体" w:cs="Arial"/>
                <w:color w:val="auto"/>
                <w:sz w:val="22"/>
                <w:highlight w:val="none"/>
              </w:rPr>
            </w:pPr>
            <w:r>
              <w:rPr>
                <w:rFonts w:hint="eastAsia" w:ascii="宋体" w:cs="Arial"/>
                <w:color w:val="auto"/>
                <w:sz w:val="22"/>
                <w:highlight w:val="none"/>
              </w:rPr>
              <w:t>评审小组的</w:t>
            </w:r>
          </w:p>
          <w:p w14:paraId="701EC632">
            <w:pPr>
              <w:jc w:val="center"/>
              <w:rPr>
                <w:rFonts w:ascii="宋体" w:cs="Arial"/>
                <w:color w:val="auto"/>
                <w:sz w:val="22"/>
                <w:highlight w:val="none"/>
              </w:rPr>
            </w:pPr>
            <w:r>
              <w:rPr>
                <w:rFonts w:hint="eastAsia" w:ascii="宋体" w:cs="Arial"/>
                <w:color w:val="auto"/>
                <w:sz w:val="22"/>
                <w:highlight w:val="none"/>
              </w:rPr>
              <w:t>组建</w:t>
            </w:r>
          </w:p>
        </w:tc>
        <w:tc>
          <w:tcPr>
            <w:tcW w:w="7619" w:type="dxa"/>
            <w:vAlign w:val="center"/>
          </w:tcPr>
          <w:p w14:paraId="7BC42B18">
            <w:pPr>
              <w:rPr>
                <w:rFonts w:ascii="宋体" w:cs="Arial"/>
                <w:color w:val="auto"/>
                <w:sz w:val="22"/>
                <w:highlight w:val="none"/>
              </w:rPr>
            </w:pPr>
            <w:r>
              <w:rPr>
                <w:rFonts w:hint="eastAsia" w:ascii="宋体" w:cs="Arial"/>
                <w:color w:val="auto"/>
                <w:sz w:val="22"/>
                <w:highlight w:val="none"/>
              </w:rPr>
              <w:t>评审小组构成：</w:t>
            </w:r>
            <w:r>
              <w:rPr>
                <w:rFonts w:ascii="宋体" w:cs="Arial"/>
                <w:color w:val="auto"/>
                <w:sz w:val="22"/>
                <w:highlight w:val="none"/>
              </w:rPr>
              <w:t xml:space="preserve"> </w:t>
            </w:r>
            <w:r>
              <w:rPr>
                <w:rFonts w:hint="eastAsia" w:ascii="宋体" w:cs="Arial"/>
                <w:color w:val="auto"/>
                <w:sz w:val="22"/>
                <w:highlight w:val="none"/>
              </w:rPr>
              <w:t>由采购单位代表以及有关技术、经济等方面的专家组成，成员为3人及以上单数，其中技术、经济类专家不得少于总人数的</w:t>
            </w:r>
            <w:r>
              <w:rPr>
                <w:rFonts w:ascii="宋体" w:cs="Arial"/>
                <w:color w:val="auto"/>
                <w:sz w:val="22"/>
                <w:highlight w:val="none"/>
              </w:rPr>
              <w:t>2/3</w:t>
            </w:r>
            <w:r>
              <w:rPr>
                <w:rFonts w:hint="eastAsia" w:ascii="宋体" w:cs="Arial"/>
                <w:color w:val="auto"/>
                <w:sz w:val="22"/>
                <w:highlight w:val="none"/>
              </w:rPr>
              <w:t>；评标专家确定方式：按相关规定从专家库中抽取。</w:t>
            </w:r>
          </w:p>
        </w:tc>
      </w:tr>
      <w:tr w14:paraId="33405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002B8FC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A9253D2">
            <w:pPr>
              <w:adjustRightInd w:val="0"/>
              <w:jc w:val="center"/>
              <w:rPr>
                <w:rFonts w:ascii="宋体"/>
                <w:color w:val="auto"/>
                <w:sz w:val="22"/>
                <w:highlight w:val="none"/>
              </w:rPr>
            </w:pPr>
            <w:r>
              <w:rPr>
                <w:rFonts w:hint="eastAsia" w:ascii="宋体"/>
                <w:color w:val="auto"/>
                <w:sz w:val="22"/>
                <w:highlight w:val="none"/>
              </w:rPr>
              <w:t>政府采购</w:t>
            </w:r>
          </w:p>
          <w:p w14:paraId="3C9FB826">
            <w:pPr>
              <w:adjustRightInd w:val="0"/>
              <w:jc w:val="center"/>
              <w:rPr>
                <w:rFonts w:ascii="宋体"/>
                <w:color w:val="auto"/>
                <w:sz w:val="22"/>
                <w:highlight w:val="none"/>
              </w:rPr>
            </w:pPr>
            <w:r>
              <w:rPr>
                <w:rFonts w:hint="eastAsia" w:ascii="宋体"/>
                <w:color w:val="auto"/>
                <w:sz w:val="22"/>
                <w:highlight w:val="none"/>
              </w:rPr>
              <w:t>扶持政策</w:t>
            </w:r>
          </w:p>
        </w:tc>
        <w:tc>
          <w:tcPr>
            <w:tcW w:w="7619" w:type="dxa"/>
            <w:vAlign w:val="center"/>
          </w:tcPr>
          <w:p w14:paraId="08FAAEED">
            <w:pPr>
              <w:rPr>
                <w:rFonts w:ascii="宋体"/>
                <w:color w:val="auto"/>
                <w:sz w:val="22"/>
                <w:highlight w:val="none"/>
              </w:rPr>
            </w:pPr>
            <w:r>
              <w:rPr>
                <w:rFonts w:hint="eastAsia" w:ascii="宋体"/>
                <w:color w:val="auto"/>
                <w:sz w:val="22"/>
                <w:highlight w:val="none"/>
              </w:rPr>
              <w:t>对符合财政扶持政策的小微企业（或监狱企业、或残疾人福利性单位）给予评标价格折扣。供应商企业属于以上多种性质的，不重复享受扶持政策。</w:t>
            </w:r>
          </w:p>
        </w:tc>
      </w:tr>
      <w:tr w14:paraId="1E957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E20440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68003C7">
            <w:pPr>
              <w:jc w:val="center"/>
              <w:rPr>
                <w:rFonts w:ascii="宋体" w:cs="Arial"/>
                <w:color w:val="auto"/>
                <w:sz w:val="22"/>
                <w:highlight w:val="none"/>
              </w:rPr>
            </w:pPr>
            <w:r>
              <w:rPr>
                <w:rFonts w:hint="eastAsia" w:ascii="宋体" w:cs="Arial"/>
                <w:color w:val="auto"/>
                <w:sz w:val="22"/>
                <w:highlight w:val="none"/>
              </w:rPr>
              <w:t>供应商信用查询</w:t>
            </w:r>
          </w:p>
        </w:tc>
        <w:tc>
          <w:tcPr>
            <w:tcW w:w="7619" w:type="dxa"/>
            <w:vAlign w:val="center"/>
          </w:tcPr>
          <w:p w14:paraId="164C00EC">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Arial"/>
                <w:color w:val="auto"/>
                <w:sz w:val="22"/>
                <w:highlight w:val="none"/>
              </w:rPr>
              <w:t>www.creditchina.gov.cn</w:t>
            </w:r>
            <w:r>
              <w:rPr>
                <w:rFonts w:hint="eastAsia" w:ascii="宋体" w:cs="Arial"/>
                <w:color w:val="auto"/>
                <w:sz w:val="22"/>
                <w:highlight w:val="none"/>
              </w:rPr>
              <w:fldChar w:fldCharType="end"/>
            </w:r>
            <w:r>
              <w:rPr>
                <w:rFonts w:hint="eastAsia" w:ascii="宋体" w:cs="Arial"/>
                <w:color w:val="auto"/>
                <w:sz w:val="22"/>
                <w:highlight w:val="none"/>
              </w:rPr>
              <w:t>)；“中国政府采购网”（http://www.ccgp.gov.cn/）；</w:t>
            </w:r>
          </w:p>
          <w:p w14:paraId="15EB3E8A">
            <w:pPr>
              <w:rPr>
                <w:rFonts w:ascii="宋体" w:cs="Arial"/>
                <w:color w:val="auto"/>
                <w:sz w:val="22"/>
                <w:highlight w:val="none"/>
              </w:rPr>
            </w:pPr>
            <w:r>
              <w:rPr>
                <w:rFonts w:hint="eastAsia" w:ascii="宋体" w:cs="Arial"/>
                <w:color w:val="auto"/>
                <w:sz w:val="22"/>
                <w:highlight w:val="none"/>
              </w:rPr>
              <w:t>2、投标供应商信用信息查询截止时点：本项目投标截止时间。</w:t>
            </w:r>
          </w:p>
          <w:p w14:paraId="460D707C">
            <w:pPr>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、投标供应商信用信息查询记录和证据留存的具体方式：网页截图打印；</w:t>
            </w:r>
          </w:p>
          <w:p w14:paraId="382C69E3">
            <w:pPr>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、信用信息的使用规则：“信用中国”具有负面记录或受惩黑名单的供应商，或“中国政府采购网”具有严重违法失信行为信息记录的供应商，其投标做无效投标处理。</w:t>
            </w:r>
          </w:p>
        </w:tc>
      </w:tr>
      <w:tr w14:paraId="6D410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8" w:hRule="atLeast"/>
          <w:jc w:val="center"/>
        </w:trPr>
        <w:tc>
          <w:tcPr>
            <w:tcW w:w="952" w:type="dxa"/>
            <w:vAlign w:val="center"/>
          </w:tcPr>
          <w:p w14:paraId="032AAB23">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70E1EB4">
            <w:pPr>
              <w:jc w:val="center"/>
              <w:rPr>
                <w:rFonts w:ascii="宋体" w:cs="Arial"/>
                <w:color w:val="auto"/>
                <w:sz w:val="22"/>
                <w:highlight w:val="none"/>
              </w:rPr>
            </w:pPr>
            <w:r>
              <w:rPr>
                <w:rFonts w:hint="eastAsia" w:ascii="宋体" w:cs="Arial"/>
                <w:color w:val="auto"/>
                <w:sz w:val="22"/>
                <w:highlight w:val="none"/>
              </w:rPr>
              <w:t>合同备案</w:t>
            </w:r>
          </w:p>
        </w:tc>
        <w:tc>
          <w:tcPr>
            <w:tcW w:w="7619" w:type="dxa"/>
            <w:vAlign w:val="center"/>
          </w:tcPr>
          <w:p w14:paraId="1C433799">
            <w:pPr>
              <w:rPr>
                <w:rFonts w:ascii="宋体" w:eastAsia="宋体" w:cs="Arial"/>
                <w:color w:val="auto"/>
                <w:sz w:val="22"/>
                <w:szCs w:val="22"/>
                <w:highlight w:val="none"/>
              </w:rPr>
            </w:pPr>
            <w:r>
              <w:rPr>
                <w:rFonts w:hint="eastAsia" w:ascii="宋体" w:cs="Arial"/>
                <w:color w:val="auto"/>
                <w:sz w:val="22"/>
                <w:highlight w:val="none"/>
              </w:rPr>
              <w:t>1、中标供应商须在发出中标通知书之日起30日历天内与采购单位签订合同。</w:t>
            </w:r>
          </w:p>
          <w:p w14:paraId="0111B7AB">
            <w:pPr>
              <w:rPr>
                <w:rFonts w:hint="default" w:ascii="宋体" w:cs="Arial" w:eastAsiaTheme="minorEastAsia"/>
                <w:color w:val="auto"/>
                <w:sz w:val="22"/>
                <w:highlight w:val="none"/>
                <w:lang w:val="en-US" w:eastAsia="zh-CN"/>
              </w:rPr>
            </w:pPr>
            <w:r>
              <w:rPr>
                <w:rFonts w:hint="eastAsia" w:ascii="宋体" w:cs="Arial"/>
                <w:color w:val="auto"/>
                <w:sz w:val="22"/>
                <w:highlight w:val="none"/>
              </w:rPr>
              <w:t>2、中标供应商与采购单位签订合同后，2日历天内将合同原件交代理机构备案。</w:t>
            </w:r>
            <w:r>
              <w:rPr>
                <w:rFonts w:hint="eastAsia" w:ascii="宋体" w:cs="Arial"/>
                <w:b/>
                <w:bCs/>
                <w:color w:val="auto"/>
                <w:sz w:val="22"/>
                <w:highlight w:val="none"/>
              </w:rPr>
              <w:t>合同原件扫描件电子版（邮件注明项目名称）发给</w:t>
            </w:r>
            <w:r>
              <w:rPr>
                <w:rFonts w:hint="eastAsia" w:ascii="宋体" w:cs="Arial"/>
                <w:b/>
                <w:bCs/>
                <w:color w:val="auto"/>
                <w:sz w:val="22"/>
                <w:highlight w:val="none"/>
                <w:lang w:val="en-US" w:eastAsia="zh-CN"/>
              </w:rPr>
              <w:t>365832898@qq.com</w:t>
            </w:r>
          </w:p>
          <w:p w14:paraId="25B5894F">
            <w:pPr>
              <w:rPr>
                <w:rFonts w:ascii="宋体" w:cs="Arial"/>
                <w:color w:val="auto"/>
                <w:sz w:val="22"/>
                <w:highlight w:val="none"/>
              </w:rPr>
            </w:pPr>
            <w:r>
              <w:rPr>
                <w:rFonts w:hint="eastAsia" w:ascii="宋体" w:cs="Arial"/>
                <w:color w:val="auto"/>
                <w:sz w:val="22"/>
                <w:highlight w:val="none"/>
              </w:rPr>
              <w:t>3、本项目政府采购合同按规定在</w:t>
            </w:r>
            <w:r>
              <w:rPr>
                <w:rFonts w:hint="eastAsia"/>
                <w:color w:val="auto"/>
                <w:sz w:val="22"/>
                <w:highlight w:val="none"/>
              </w:rPr>
              <w:t>浙江政府采购网（http://www.zcygov.cn/）</w:t>
            </w:r>
            <w:r>
              <w:rPr>
                <w:rFonts w:hint="eastAsia" w:ascii="宋体" w:cs="Arial"/>
                <w:color w:val="auto"/>
                <w:sz w:val="22"/>
                <w:highlight w:val="none"/>
              </w:rPr>
              <w:t>予以公告。</w:t>
            </w:r>
          </w:p>
        </w:tc>
      </w:tr>
      <w:tr w14:paraId="7314C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0C52837B">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75BB736">
            <w:pPr>
              <w:jc w:val="center"/>
              <w:rPr>
                <w:rFonts w:ascii="宋体"/>
                <w:color w:val="auto"/>
                <w:sz w:val="22"/>
                <w:highlight w:val="none"/>
              </w:rPr>
            </w:pPr>
            <w:r>
              <w:rPr>
                <w:rFonts w:hint="eastAsia" w:ascii="宋体"/>
                <w:color w:val="auto"/>
                <w:sz w:val="22"/>
                <w:highlight w:val="none"/>
              </w:rPr>
              <w:t>合同履约管理</w:t>
            </w:r>
          </w:p>
        </w:tc>
        <w:tc>
          <w:tcPr>
            <w:tcW w:w="7619" w:type="dxa"/>
            <w:vAlign w:val="center"/>
          </w:tcPr>
          <w:p w14:paraId="080914B6">
            <w:pPr>
              <w:rPr>
                <w:rFonts w:ascii="宋体" w:cs="Arial"/>
                <w:color w:val="auto"/>
                <w:sz w:val="22"/>
                <w:highlight w:val="none"/>
              </w:rPr>
            </w:pPr>
            <w:r>
              <w:rPr>
                <w:rFonts w:hint="eastAsia" w:ascii="宋体" w:cs="Arial"/>
                <w:color w:val="auto"/>
                <w:sz w:val="22"/>
                <w:highlight w:val="none"/>
              </w:rPr>
              <w:t>合同签订后，采购单位依法加强对合同履约进行管理，并在成交单位供货、项目验收等重要关节，如实填写《合同验收报告》（表附合同条款中），并及时向同级财政部门报告验收过程中遇到的问题。</w:t>
            </w:r>
          </w:p>
        </w:tc>
      </w:tr>
      <w:tr w14:paraId="61D5B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41C8B2B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3886855">
            <w:pPr>
              <w:jc w:val="center"/>
              <w:rPr>
                <w:rFonts w:ascii="宋体"/>
                <w:color w:val="auto"/>
                <w:sz w:val="22"/>
                <w:highlight w:val="none"/>
              </w:rPr>
            </w:pPr>
            <w:r>
              <w:rPr>
                <w:rFonts w:hint="eastAsia" w:ascii="宋体"/>
                <w:color w:val="auto"/>
                <w:sz w:val="22"/>
                <w:highlight w:val="none"/>
              </w:rPr>
              <w:t>免责声明</w:t>
            </w:r>
          </w:p>
        </w:tc>
        <w:tc>
          <w:tcPr>
            <w:tcW w:w="7619" w:type="dxa"/>
            <w:vAlign w:val="center"/>
          </w:tcPr>
          <w:p w14:paraId="46EC4C26">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、投标供应商自行承担投标过程中产生的费用。无论何种因素导致采购项目延期开标、废标（流标）、投标供应商未成交、项目终止采购的，采购单位与代理机构均不承担供应商投标费用。</w:t>
            </w:r>
          </w:p>
          <w:p w14:paraId="4E117CDD">
            <w:pPr>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、投标供应商在投标、合同履行过程中必须做好安全保障工作，不因项目实施而危及自身及第三方人员、财产安全。若发生任何安全事故，由成交供应商自行承担一切责任并赔偿损失。</w:t>
            </w:r>
          </w:p>
        </w:tc>
      </w:tr>
      <w:tr w14:paraId="53336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76078F21">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tcBorders>
              <w:bottom w:val="single" w:color="auto" w:sz="12" w:space="0"/>
            </w:tcBorders>
            <w:vAlign w:val="center"/>
          </w:tcPr>
          <w:p w14:paraId="20125517">
            <w:pPr>
              <w:jc w:val="center"/>
              <w:rPr>
                <w:rFonts w:ascii="宋体" w:cs="Arial"/>
                <w:color w:val="auto"/>
                <w:sz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2629C1B0">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160BFA10">
            <w:pPr>
              <w:rPr>
                <w:rFonts w:ascii="宋体" w:cs="Arial"/>
                <w:color w:val="auto"/>
                <w:sz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537DAF09">
      <w:pPr>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br w:type="page"/>
      </w:r>
    </w:p>
    <w:p w14:paraId="13CD4A6F">
      <w:pPr>
        <w:jc w:val="center"/>
        <w:outlineLvl w:val="0"/>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t>第二部分 招标内容</w:t>
      </w:r>
    </w:p>
    <w:p w14:paraId="6EB1C30A">
      <w:pPr>
        <w:pStyle w:val="4"/>
        <w:rPr>
          <w:b/>
          <w:color w:val="auto"/>
          <w:highlight w:val="none"/>
        </w:rPr>
      </w:pPr>
      <w:bookmarkStart w:id="0" w:name="_Toc189445130"/>
      <w:bookmarkEnd w:id="0"/>
      <w:bookmarkStart w:id="1" w:name="_Toc273284797"/>
      <w:bookmarkEnd w:id="1"/>
      <w:bookmarkStart w:id="2" w:name="_Toc189445125"/>
      <w:bookmarkEnd w:id="2"/>
      <w:bookmarkStart w:id="3" w:name="_Toc273284794"/>
      <w:bookmarkEnd w:id="3"/>
      <w:bookmarkStart w:id="4" w:name="_Toc273284795"/>
      <w:bookmarkEnd w:id="4"/>
      <w:bookmarkStart w:id="5" w:name="_Toc189445131"/>
      <w:bookmarkEnd w:id="5"/>
      <w:r>
        <w:rPr>
          <w:b/>
          <w:color w:val="auto"/>
          <w:highlight w:val="none"/>
        </w:rPr>
        <w:t xml:space="preserve"> </w:t>
      </w:r>
    </w:p>
    <w:p w14:paraId="4A6481C3">
      <w:pPr>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rPr>
        <w:t>一、</w:t>
      </w:r>
      <w:r>
        <w:rPr>
          <w:rFonts w:hint="eastAsia" w:ascii="宋体" w:hAnsi="宋体" w:cs="Times New Roman"/>
          <w:b/>
          <w:color w:val="auto"/>
          <w:sz w:val="24"/>
          <w:szCs w:val="24"/>
          <w:highlight w:val="none"/>
          <w:lang w:val="en-US" w:eastAsia="zh-CN"/>
        </w:rPr>
        <w:t>工作背景</w:t>
      </w:r>
    </w:p>
    <w:p w14:paraId="68AE1D79">
      <w:pPr>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eastAsia="zh-CN"/>
        </w:rPr>
        <w:t>依据《中华人民共和国土地管理法》、《土地调查条例》、《土地调查条例实施办法》、《第三次全国国土调查技术规程》（TD/T 1055-2019），结合《浙江省自然资源厅 浙江省林业局关于切实做好2025年度国土变更调查及森林草地湿地调查监测工作的通知》（浙自然资厅函〔2025〕1088号）等文件精神，开展</w:t>
      </w:r>
      <w:r>
        <w:rPr>
          <w:rFonts w:hint="eastAsia" w:ascii="宋体" w:hAnsi="宋体" w:eastAsia="宋体" w:cs="Times New Roman"/>
          <w:bCs/>
          <w:color w:val="auto"/>
          <w:szCs w:val="21"/>
          <w:highlight w:val="none"/>
          <w:lang w:val="en-US" w:eastAsia="zh-CN"/>
        </w:rPr>
        <w:t>泰顺县</w:t>
      </w:r>
      <w:r>
        <w:rPr>
          <w:rFonts w:hint="eastAsia" w:ascii="宋体" w:hAnsi="宋体" w:eastAsia="宋体" w:cs="Times New Roman"/>
          <w:bCs/>
          <w:color w:val="auto"/>
          <w:szCs w:val="21"/>
          <w:highlight w:val="none"/>
          <w:lang w:eastAsia="zh-CN"/>
        </w:rPr>
        <w:t>202</w:t>
      </w:r>
      <w:r>
        <w:rPr>
          <w:rFonts w:hint="eastAsia" w:ascii="宋体" w:hAnsi="宋体" w:eastAsia="宋体" w:cs="Times New Roman"/>
          <w:bCs/>
          <w:color w:val="auto"/>
          <w:szCs w:val="21"/>
          <w:highlight w:val="none"/>
          <w:lang w:val="en-US" w:eastAsia="zh-CN"/>
        </w:rPr>
        <w:t>5-2026年</w:t>
      </w:r>
      <w:r>
        <w:rPr>
          <w:rFonts w:hint="eastAsia" w:ascii="宋体" w:hAnsi="宋体" w:eastAsia="宋体" w:cs="Times New Roman"/>
          <w:bCs/>
          <w:color w:val="auto"/>
          <w:szCs w:val="21"/>
          <w:highlight w:val="none"/>
          <w:lang w:eastAsia="zh-CN"/>
        </w:rPr>
        <w:t>度国土变更调查及202</w:t>
      </w:r>
      <w:r>
        <w:rPr>
          <w:rFonts w:hint="eastAsia" w:ascii="宋体" w:hAnsi="宋体" w:eastAsia="宋体" w:cs="Times New Roman"/>
          <w:bCs/>
          <w:color w:val="auto"/>
          <w:szCs w:val="21"/>
          <w:highlight w:val="none"/>
          <w:lang w:val="en-US" w:eastAsia="zh-CN"/>
        </w:rPr>
        <w:t>6-2027</w:t>
      </w:r>
      <w:r>
        <w:rPr>
          <w:rFonts w:hint="eastAsia" w:ascii="宋体" w:hAnsi="宋体" w:eastAsia="宋体" w:cs="Times New Roman"/>
          <w:bCs/>
          <w:color w:val="auto"/>
          <w:szCs w:val="21"/>
          <w:highlight w:val="none"/>
          <w:lang w:eastAsia="zh-CN"/>
        </w:rPr>
        <w:t>年日常变更工作，</w:t>
      </w:r>
      <w:r>
        <w:rPr>
          <w:rFonts w:hint="eastAsia" w:ascii="宋体" w:hAnsi="宋体" w:eastAsia="宋体" w:cs="Arial"/>
          <w:color w:val="auto"/>
          <w:sz w:val="21"/>
          <w:szCs w:val="21"/>
          <w:highlight w:val="none"/>
          <w:lang w:eastAsia="zh-CN"/>
        </w:rPr>
        <w:t>具体要求最终以最新省、部文件为准。</w:t>
      </w:r>
    </w:p>
    <w:p w14:paraId="642E64E9">
      <w:pPr>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二、工作目标</w:t>
      </w:r>
    </w:p>
    <w:p w14:paraId="7E29BB2E">
      <w:pPr>
        <w:spacing w:line="360" w:lineRule="auto"/>
        <w:ind w:firstLine="420" w:firstLineChars="200"/>
        <w:rPr>
          <w:rFonts w:hint="default"/>
          <w:color w:val="auto"/>
          <w:highlight w:val="none"/>
          <w:lang w:val="en-US" w:eastAsia="zh-CN"/>
        </w:rPr>
      </w:pPr>
      <w:r>
        <w:rPr>
          <w:rFonts w:hint="eastAsia" w:ascii="宋体" w:hAnsi="宋体" w:eastAsia="宋体" w:cs="Times New Roman"/>
          <w:bCs/>
          <w:color w:val="auto"/>
          <w:szCs w:val="21"/>
          <w:highlight w:val="none"/>
          <w:lang w:eastAsia="zh-CN"/>
        </w:rPr>
        <w:t>在</w:t>
      </w:r>
      <w:r>
        <w:rPr>
          <w:rFonts w:hint="eastAsia" w:ascii="宋体" w:hAnsi="宋体" w:eastAsia="宋体" w:cs="Times New Roman"/>
          <w:bCs/>
          <w:color w:val="auto"/>
          <w:szCs w:val="21"/>
          <w:highlight w:val="none"/>
          <w:lang w:val="en-US" w:eastAsia="zh-CN"/>
        </w:rPr>
        <w:t>2024/2025</w:t>
      </w:r>
      <w:r>
        <w:rPr>
          <w:rFonts w:hint="eastAsia" w:ascii="宋体" w:hAnsi="宋体" w:eastAsia="宋体" w:cs="Times New Roman"/>
          <w:bCs/>
          <w:color w:val="auto"/>
          <w:szCs w:val="21"/>
          <w:highlight w:val="none"/>
          <w:lang w:eastAsia="zh-CN"/>
        </w:rPr>
        <w:t>年度国土变更调查成果基础上，通过开展202</w:t>
      </w:r>
      <w:r>
        <w:rPr>
          <w:rFonts w:hint="eastAsia" w:ascii="宋体" w:hAnsi="宋体" w:eastAsia="宋体" w:cs="Times New Roman"/>
          <w:bCs/>
          <w:color w:val="auto"/>
          <w:szCs w:val="21"/>
          <w:highlight w:val="none"/>
          <w:lang w:val="en-US" w:eastAsia="zh-CN"/>
        </w:rPr>
        <w:t>5-2026年</w:t>
      </w:r>
      <w:r>
        <w:rPr>
          <w:rFonts w:hint="eastAsia" w:ascii="宋体" w:hAnsi="宋体" w:eastAsia="宋体" w:cs="Times New Roman"/>
          <w:bCs/>
          <w:color w:val="auto"/>
          <w:szCs w:val="21"/>
          <w:highlight w:val="none"/>
          <w:lang w:eastAsia="zh-CN"/>
        </w:rPr>
        <w:t>度国土变更调查及202</w:t>
      </w:r>
      <w:r>
        <w:rPr>
          <w:rFonts w:hint="eastAsia" w:ascii="宋体" w:hAnsi="宋体" w:eastAsia="宋体" w:cs="Times New Roman"/>
          <w:bCs/>
          <w:color w:val="auto"/>
          <w:szCs w:val="21"/>
          <w:highlight w:val="none"/>
          <w:lang w:val="en-US" w:eastAsia="zh-CN"/>
        </w:rPr>
        <w:t>6-2027</w:t>
      </w:r>
      <w:r>
        <w:rPr>
          <w:rFonts w:hint="eastAsia" w:ascii="宋体" w:hAnsi="宋体" w:eastAsia="宋体" w:cs="Times New Roman"/>
          <w:bCs/>
          <w:color w:val="auto"/>
          <w:szCs w:val="21"/>
          <w:highlight w:val="none"/>
          <w:lang w:eastAsia="zh-CN"/>
        </w:rPr>
        <w:t>年日常变更工作，及时掌握</w:t>
      </w:r>
      <w:r>
        <w:rPr>
          <w:rFonts w:hint="eastAsia" w:ascii="宋体" w:hAnsi="宋体" w:eastAsia="宋体" w:cs="Times New Roman"/>
          <w:bCs/>
          <w:color w:val="auto"/>
          <w:szCs w:val="21"/>
          <w:highlight w:val="none"/>
          <w:lang w:val="en-US" w:eastAsia="zh-CN"/>
        </w:rPr>
        <w:t>泰顺县</w:t>
      </w:r>
      <w:r>
        <w:rPr>
          <w:rFonts w:hint="eastAsia" w:ascii="宋体" w:hAnsi="宋体" w:eastAsia="宋体" w:cs="Times New Roman"/>
          <w:bCs/>
          <w:color w:val="auto"/>
          <w:szCs w:val="21"/>
          <w:highlight w:val="none"/>
          <w:lang w:eastAsia="zh-CN"/>
        </w:rPr>
        <w:t>日常国土利用变化情况，切实保障国土调查成果的现势性和准确性，及时反映自然资源管理成效，更好地服务自然资源管理。</w:t>
      </w:r>
    </w:p>
    <w:p w14:paraId="3B5EF155">
      <w:pPr>
        <w:spacing w:line="360" w:lineRule="auto"/>
        <w:ind w:firstLine="482" w:firstLineChars="200"/>
        <w:rPr>
          <w:rFonts w:hint="default" w:ascii="宋体" w:hAnsi="宋体" w:eastAsia="宋体" w:cs="Times New Roman"/>
          <w:color w:val="auto"/>
          <w:sz w:val="24"/>
          <w:szCs w:val="24"/>
          <w:highlight w:val="none"/>
          <w:lang w:val="en-US" w:eastAsia="zh-CN"/>
        </w:rPr>
      </w:pPr>
      <w:r>
        <w:rPr>
          <w:rFonts w:hint="eastAsia" w:ascii="宋体" w:hAnsi="宋体" w:cs="Times New Roman"/>
          <w:b/>
          <w:color w:val="auto"/>
          <w:sz w:val="24"/>
          <w:szCs w:val="24"/>
          <w:highlight w:val="none"/>
          <w:lang w:val="en-US" w:eastAsia="zh-CN"/>
        </w:rPr>
        <w:t>三、</w:t>
      </w:r>
      <w:r>
        <w:rPr>
          <w:rFonts w:hint="eastAsia" w:ascii="宋体" w:hAnsi="宋体" w:eastAsia="宋体" w:cs="Times New Roman"/>
          <w:b/>
          <w:color w:val="auto"/>
          <w:sz w:val="24"/>
          <w:szCs w:val="24"/>
          <w:highlight w:val="none"/>
          <w:lang w:val="en-US" w:eastAsia="zh-CN"/>
        </w:rPr>
        <w:t>工作内容</w:t>
      </w:r>
    </w:p>
    <w:p w14:paraId="2419D84C">
      <w:pPr>
        <w:spacing w:line="360" w:lineRule="auto"/>
        <w:ind w:firstLine="420" w:firstLineChars="200"/>
        <w:rPr>
          <w:rFonts w:hint="eastAsia"/>
          <w:color w:val="auto"/>
          <w:highlight w:val="none"/>
          <w:lang w:eastAsia="zh-CN"/>
        </w:rPr>
      </w:pPr>
      <w:r>
        <w:rPr>
          <w:rFonts w:hint="eastAsia" w:ascii="宋体" w:hAnsi="宋体" w:eastAsia="宋体" w:cs="Times New Roman"/>
          <w:bCs/>
          <w:color w:val="auto"/>
          <w:szCs w:val="21"/>
          <w:highlight w:val="none"/>
          <w:lang w:eastAsia="zh-CN"/>
        </w:rPr>
        <w:t>按照国家统一标准，在泰顺县范围内利用卫星遥感、互联网、云计算等技术，统筹利用现有资料，利用202</w:t>
      </w:r>
      <w:r>
        <w:rPr>
          <w:rFonts w:hint="eastAsia" w:ascii="宋体" w:hAnsi="宋体" w:eastAsia="宋体" w:cs="Times New Roman"/>
          <w:bCs/>
          <w:color w:val="auto"/>
          <w:szCs w:val="21"/>
          <w:highlight w:val="none"/>
          <w:lang w:val="en-US" w:eastAsia="zh-CN"/>
        </w:rPr>
        <w:t>5年、2026</w:t>
      </w:r>
      <w:r>
        <w:rPr>
          <w:rFonts w:hint="eastAsia" w:ascii="宋体" w:hAnsi="宋体" w:eastAsia="宋体" w:cs="Times New Roman"/>
          <w:bCs/>
          <w:color w:val="auto"/>
          <w:szCs w:val="21"/>
          <w:highlight w:val="none"/>
          <w:lang w:eastAsia="zh-CN"/>
        </w:rPr>
        <w:t>年底卫星遥感影像</w:t>
      </w:r>
      <w:r>
        <w:rPr>
          <w:rFonts w:hint="eastAsia" w:ascii="宋体" w:hAnsi="宋体" w:eastAsia="宋体" w:cs="Times New Roman"/>
          <w:bCs/>
          <w:color w:val="auto"/>
          <w:szCs w:val="21"/>
          <w:highlight w:val="none"/>
          <w:lang w:val="en-US" w:eastAsia="zh-CN"/>
        </w:rPr>
        <w:t>和遥感监测成果</w:t>
      </w:r>
      <w:r>
        <w:rPr>
          <w:rFonts w:hint="eastAsia" w:ascii="宋体" w:hAnsi="宋体" w:eastAsia="宋体" w:cs="Times New Roman"/>
          <w:bCs/>
          <w:color w:val="auto"/>
          <w:szCs w:val="21"/>
          <w:highlight w:val="none"/>
          <w:lang w:eastAsia="zh-CN"/>
        </w:rPr>
        <w:t>，结合有关专项监测及自然资源管理成果，开展实地调查举证，全面掌握泰顺县202</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lang w:eastAsia="zh-CN"/>
        </w:rPr>
        <w:t>年</w:t>
      </w:r>
      <w:r>
        <w:rPr>
          <w:rFonts w:hint="eastAsia" w:ascii="宋体" w:hAnsi="宋体" w:eastAsia="宋体" w:cs="Times New Roman"/>
          <w:bCs/>
          <w:color w:val="auto"/>
          <w:szCs w:val="21"/>
          <w:highlight w:val="none"/>
          <w:lang w:val="en-US" w:eastAsia="zh-CN"/>
        </w:rPr>
        <w:t>-2026年</w:t>
      </w:r>
      <w:r>
        <w:rPr>
          <w:rFonts w:hint="eastAsia" w:ascii="宋体" w:hAnsi="宋体" w:eastAsia="宋体" w:cs="Times New Roman"/>
          <w:bCs/>
          <w:color w:val="auto"/>
          <w:szCs w:val="21"/>
          <w:highlight w:val="none"/>
          <w:lang w:eastAsia="zh-CN"/>
        </w:rPr>
        <w:t>度的地类、面积、属性及相关单独图层信息的变化情况，更新“三调”数据库；</w:t>
      </w:r>
      <w:r>
        <w:rPr>
          <w:rFonts w:hint="eastAsia" w:ascii="宋体" w:hAnsi="宋体" w:eastAsia="宋体" w:cs="Times New Roman"/>
          <w:bCs/>
          <w:color w:val="auto"/>
          <w:szCs w:val="21"/>
          <w:highlight w:val="none"/>
          <w:lang w:val="en-US" w:eastAsia="zh-CN"/>
        </w:rPr>
        <w:t>协助搜集自然资源管理图斑等资料，对变化图斑开展外业调查举证工作，辅助泰顺县自然资源和规划局完成2026年-2027年度日常变更的内业分析汇报、数据库建设与汇交工作</w:t>
      </w:r>
      <w:r>
        <w:rPr>
          <w:rFonts w:hint="eastAsia" w:ascii="宋体" w:hAnsi="宋体" w:eastAsia="宋体" w:cs="Times New Roman"/>
          <w:bCs/>
          <w:color w:val="auto"/>
          <w:szCs w:val="21"/>
          <w:highlight w:val="none"/>
          <w:lang w:eastAsia="zh-CN"/>
        </w:rPr>
        <w:t>。</w:t>
      </w:r>
    </w:p>
    <w:p w14:paraId="2CE5F8E7">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四</w:t>
      </w:r>
      <w:r>
        <w:rPr>
          <w:rFonts w:hint="eastAsia" w:ascii="宋体" w:hAnsi="宋体" w:eastAsia="宋体" w:cs="Times New Roman"/>
          <w:b/>
          <w:bCs/>
          <w:color w:val="auto"/>
          <w:sz w:val="24"/>
          <w:szCs w:val="24"/>
          <w:highlight w:val="none"/>
        </w:rPr>
        <w:t>、相关法律法规及文件</w:t>
      </w:r>
    </w:p>
    <w:p w14:paraId="43AFDA7E">
      <w:pPr>
        <w:spacing w:line="360" w:lineRule="auto"/>
        <w:ind w:firstLine="420" w:firstLineChars="200"/>
        <w:rPr>
          <w:rFonts w:ascii="宋体" w:hAnsi="宋体" w:eastAsia="宋体" w:cs="Times New Roman"/>
          <w:bCs/>
          <w:color w:val="auto"/>
          <w:szCs w:val="21"/>
          <w:highlight w:val="none"/>
        </w:rPr>
      </w:pP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《土地管理法》；</w:t>
      </w:r>
    </w:p>
    <w:p w14:paraId="606DAD1F">
      <w:pPr>
        <w:spacing w:line="360" w:lineRule="auto"/>
        <w:ind w:firstLine="420" w:firstLineChars="200"/>
        <w:rPr>
          <w:rFonts w:ascii="宋体" w:hAnsi="宋体" w:eastAsia="宋体" w:cs="Times New Roman"/>
          <w:bCs/>
          <w:color w:val="auto"/>
          <w:szCs w:val="21"/>
          <w:highlight w:val="none"/>
        </w:rPr>
      </w:pP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2</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《土地管理法实施条例》；</w:t>
      </w:r>
    </w:p>
    <w:p w14:paraId="2C2EB0E2">
      <w:pPr>
        <w:spacing w:line="360" w:lineRule="auto"/>
        <w:ind w:firstLine="420" w:firstLineChars="200"/>
        <w:rPr>
          <w:rFonts w:ascii="宋体" w:hAnsi="宋体" w:eastAsia="宋体" w:cs="Times New Roman"/>
          <w:bCs/>
          <w:color w:val="auto"/>
          <w:szCs w:val="21"/>
          <w:highlight w:val="none"/>
        </w:rPr>
      </w:pP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《第三次全国土地调查总体方案》（国土调查办发〔2018〕1号）；</w:t>
      </w:r>
    </w:p>
    <w:p w14:paraId="24B4A51B">
      <w:pPr>
        <w:spacing w:line="360" w:lineRule="auto"/>
        <w:ind w:firstLine="420" w:firstLineChars="200"/>
        <w:rPr>
          <w:rFonts w:ascii="宋体" w:hAnsi="宋体" w:eastAsia="宋体" w:cs="Times New Roman"/>
          <w:bCs/>
          <w:color w:val="auto"/>
          <w:szCs w:val="21"/>
          <w:highlight w:val="none"/>
        </w:rPr>
      </w:pP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4</w:t>
      </w:r>
      <w:r>
        <w:rPr>
          <w:rFonts w:hint="eastAsia" w:ascii="宋体" w:hAnsi="宋体" w:cs="Times New Roman"/>
          <w:bCs/>
          <w:color w:val="auto"/>
          <w:szCs w:val="21"/>
          <w:highlight w:val="none"/>
          <w:lang w:eastAsia="zh-CN"/>
        </w:rPr>
        <w:t>）</w:t>
      </w:r>
      <w:r>
        <w:rPr>
          <w:rFonts w:hint="eastAsia" w:ascii="宋体" w:hAnsi="宋体" w:eastAsia="宋体" w:cs="Times New Roman"/>
          <w:color w:val="auto"/>
          <w:szCs w:val="21"/>
          <w:highlight w:val="none"/>
        </w:rPr>
        <w:t>《第三次全国土地调查工作分类》</w:t>
      </w:r>
      <w:r>
        <w:rPr>
          <w:rFonts w:hint="eastAsia" w:ascii="宋体" w:hAnsi="宋体" w:eastAsia="宋体" w:cs="Times New Roman"/>
          <w:bCs/>
          <w:color w:val="auto"/>
          <w:szCs w:val="21"/>
          <w:highlight w:val="none"/>
        </w:rPr>
        <w:t>；</w:t>
      </w:r>
    </w:p>
    <w:p w14:paraId="1DBBC265">
      <w:pPr>
        <w:spacing w:line="360" w:lineRule="auto"/>
        <w:ind w:firstLine="420" w:firstLineChars="200"/>
        <w:rPr>
          <w:rFonts w:ascii="宋体" w:hAnsi="宋体" w:eastAsia="宋体" w:cs="Times New Roman"/>
          <w:bCs/>
          <w:color w:val="auto"/>
          <w:szCs w:val="21"/>
          <w:highlight w:val="none"/>
        </w:rPr>
      </w:pP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5</w:t>
      </w:r>
      <w:r>
        <w:rPr>
          <w:rFonts w:hint="eastAsia" w:ascii="宋体" w:hAnsi="宋体" w:cs="Times New Roman"/>
          <w:bCs/>
          <w:color w:val="auto"/>
          <w:szCs w:val="21"/>
          <w:highlight w:val="none"/>
          <w:lang w:eastAsia="zh-CN"/>
        </w:rPr>
        <w:t>）</w:t>
      </w:r>
      <w:r>
        <w:rPr>
          <w:rFonts w:hint="eastAsia" w:ascii="宋体" w:hAnsi="宋体" w:eastAsia="宋体" w:cs="Times New Roman"/>
          <w:color w:val="auto"/>
          <w:szCs w:val="21"/>
          <w:highlight w:val="none"/>
        </w:rPr>
        <w:t>《第三次全国土地调查技术规程》</w:t>
      </w:r>
      <w:r>
        <w:rPr>
          <w:rFonts w:hint="eastAsia" w:ascii="宋体" w:hAnsi="宋体" w:eastAsia="宋体" w:cs="Times New Roman"/>
          <w:bCs/>
          <w:color w:val="auto"/>
          <w:szCs w:val="21"/>
          <w:highlight w:val="none"/>
        </w:rPr>
        <w:t xml:space="preserve"> ；</w:t>
      </w:r>
    </w:p>
    <w:p w14:paraId="07819613">
      <w:pPr>
        <w:spacing w:line="360" w:lineRule="auto"/>
        <w:ind w:firstLine="420" w:firstLineChars="200"/>
        <w:rPr>
          <w:rFonts w:ascii="宋体" w:hAnsi="宋体" w:eastAsia="宋体" w:cs="Times New Roman"/>
          <w:bCs/>
          <w:color w:val="auto"/>
          <w:szCs w:val="21"/>
          <w:highlight w:val="none"/>
        </w:rPr>
      </w:pP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lang w:val="en-US" w:eastAsia="zh-CN"/>
        </w:rPr>
        <w:t>6</w:t>
      </w:r>
      <w:r>
        <w:rPr>
          <w:rFonts w:hint="eastAsia" w:ascii="宋体" w:hAnsi="宋体" w:cs="Times New Roman"/>
          <w:bCs/>
          <w:color w:val="auto"/>
          <w:szCs w:val="21"/>
          <w:highlight w:val="none"/>
          <w:lang w:eastAsia="zh-CN"/>
        </w:rPr>
        <w:t>）</w:t>
      </w:r>
      <w:r>
        <w:rPr>
          <w:rFonts w:hint="eastAsia" w:ascii="宋体" w:hAnsi="宋体" w:eastAsia="宋体" w:cs="Times New Roman"/>
          <w:color w:val="auto"/>
          <w:szCs w:val="21"/>
          <w:highlight w:val="none"/>
          <w:lang w:val="zh-CN"/>
        </w:rPr>
        <w:t>《土地利用现状分类》（GB/T 21010-2017）</w:t>
      </w:r>
      <w:r>
        <w:rPr>
          <w:rFonts w:hint="eastAsia" w:ascii="宋体" w:hAnsi="宋体" w:eastAsia="宋体" w:cs="Times New Roman"/>
          <w:bCs/>
          <w:color w:val="auto"/>
          <w:szCs w:val="21"/>
          <w:highlight w:val="none"/>
        </w:rPr>
        <w:t>；</w:t>
      </w:r>
    </w:p>
    <w:p w14:paraId="67DA4E38">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7</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zh-CN" w:eastAsia="zh-CN"/>
        </w:rPr>
        <w:t>《土地利用动态遥感监测规程》（TD/T 1010-2015）；</w:t>
      </w:r>
    </w:p>
    <w:p w14:paraId="46F543F4">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lang w:eastAsia="zh-CN"/>
        </w:rPr>
        <w:t>）</w:t>
      </w:r>
      <w:r>
        <w:rPr>
          <w:rFonts w:hint="eastAsia" w:ascii="Calibri" w:hAnsi="宋体" w:eastAsia="宋体" w:cs="宋体"/>
          <w:color w:val="auto"/>
          <w:kern w:val="2"/>
          <w:sz w:val="21"/>
          <w:szCs w:val="21"/>
          <w:highlight w:val="none"/>
          <w:lang w:val="en-US" w:eastAsia="zh-CN" w:bidi="ar-SA"/>
        </w:rPr>
        <w:t>《国土变更调查技术规程（2025年度适用）》；</w:t>
      </w:r>
    </w:p>
    <w:p w14:paraId="6CF69468">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lang w:eastAsia="zh-CN"/>
        </w:rPr>
        <w:t>）</w:t>
      </w:r>
      <w:r>
        <w:rPr>
          <w:rFonts w:hint="eastAsia" w:ascii="Calibri" w:hAnsi="宋体" w:eastAsia="宋体" w:cs="宋体"/>
          <w:color w:val="auto"/>
          <w:kern w:val="2"/>
          <w:sz w:val="21"/>
          <w:szCs w:val="21"/>
          <w:highlight w:val="none"/>
          <w:lang w:val="en-US" w:eastAsia="zh-CN" w:bidi="ar-SA"/>
        </w:rPr>
        <w:t>《2025年度全国国土变更调查及森林草原湿地荒漠调查监测实施方案》</w:t>
      </w:r>
      <w:r>
        <w:rPr>
          <w:rFonts w:hint="eastAsia" w:hAnsi="宋体" w:eastAsia="宋体" w:cs="宋体"/>
          <w:color w:val="auto"/>
          <w:kern w:val="2"/>
          <w:sz w:val="21"/>
          <w:szCs w:val="21"/>
          <w:highlight w:val="none"/>
          <w:lang w:val="en-US" w:eastAsia="zh-CN" w:bidi="ar-SA"/>
        </w:rPr>
        <w:t>；</w:t>
      </w:r>
    </w:p>
    <w:p w14:paraId="48103080">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10</w:t>
      </w:r>
      <w:r>
        <w:rPr>
          <w:rFonts w:hint="eastAsia" w:ascii="宋体" w:hAnsi="宋体" w:eastAsia="宋体" w:cs="Times New Roman"/>
          <w:bCs/>
          <w:color w:val="auto"/>
          <w:szCs w:val="21"/>
          <w:highlight w:val="none"/>
          <w:lang w:eastAsia="zh-CN"/>
        </w:rPr>
        <w:t>）《浙江省自然资源厅 浙江省林业局关于切实做好2025年度国土变更调查及森林草地湿地调查监测工作的通知》（浙自然资厅函〔2025〕1088号）；</w:t>
      </w:r>
    </w:p>
    <w:p w14:paraId="6DE0A913">
      <w:pPr>
        <w:spacing w:line="360" w:lineRule="auto"/>
        <w:ind w:firstLine="420" w:firstLineChars="200"/>
        <w:rPr>
          <w:rFonts w:hint="eastAsia"/>
          <w:color w:val="auto"/>
          <w:highlight w:val="none"/>
          <w:lang w:eastAsia="zh-CN"/>
        </w:rPr>
      </w:pPr>
      <w:r>
        <w:rPr>
          <w:rFonts w:hint="eastAsia" w:hAnsi="宋体" w:eastAsia="宋体" w:cs="宋体"/>
          <w:color w:val="auto"/>
          <w:kern w:val="2"/>
          <w:sz w:val="21"/>
          <w:szCs w:val="21"/>
          <w:highlight w:val="none"/>
          <w:lang w:val="en-US" w:eastAsia="zh-CN" w:bidi="ar-SA"/>
        </w:rPr>
        <w:t>（11）</w:t>
      </w:r>
      <w:r>
        <w:rPr>
          <w:rFonts w:hint="eastAsia" w:ascii="Calibri" w:hAnsi="宋体" w:eastAsia="宋体" w:cs="宋体"/>
          <w:color w:val="auto"/>
          <w:kern w:val="2"/>
          <w:sz w:val="21"/>
          <w:szCs w:val="21"/>
          <w:highlight w:val="none"/>
          <w:lang w:val="en-US" w:eastAsia="zh-CN" w:bidi="ar-SA"/>
        </w:rPr>
        <w:t>其他省、部级相关技术规定。</w:t>
      </w:r>
    </w:p>
    <w:p w14:paraId="4D50DAF7">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五</w:t>
      </w:r>
      <w:r>
        <w:rPr>
          <w:rFonts w:hint="eastAsia" w:ascii="宋体" w:hAnsi="宋体" w:eastAsia="宋体" w:cs="Times New Roman"/>
          <w:b/>
          <w:bCs/>
          <w:color w:val="auto"/>
          <w:sz w:val="24"/>
          <w:szCs w:val="24"/>
          <w:highlight w:val="none"/>
        </w:rPr>
        <w:t>、调查范围</w:t>
      </w:r>
    </w:p>
    <w:p w14:paraId="17637E39">
      <w:pPr>
        <w:spacing w:line="360" w:lineRule="auto"/>
        <w:ind w:firstLine="420" w:firstLineChars="200"/>
        <w:rPr>
          <w:rFonts w:ascii="宋体" w:hAnsi="宋体" w:eastAsia="宋体" w:cs="Times New Roman"/>
          <w:b/>
          <w:bCs/>
          <w:color w:val="auto"/>
          <w:sz w:val="24"/>
          <w:szCs w:val="24"/>
          <w:highlight w:val="none"/>
        </w:rPr>
      </w:pPr>
      <w:r>
        <w:rPr>
          <w:rFonts w:hint="eastAsia" w:ascii="宋体" w:hAnsi="宋体" w:cs="Times New Roman"/>
          <w:bCs/>
          <w:color w:val="auto"/>
          <w:szCs w:val="21"/>
          <w:highlight w:val="none"/>
          <w:lang w:eastAsia="zh-CN"/>
        </w:rPr>
        <w:t>泰顺县</w:t>
      </w:r>
      <w:r>
        <w:rPr>
          <w:rFonts w:hint="eastAsia" w:ascii="宋体" w:hAnsi="宋体" w:cs="Times New Roman"/>
          <w:bCs/>
          <w:color w:val="auto"/>
          <w:szCs w:val="21"/>
          <w:highlight w:val="none"/>
          <w:lang w:val="en-US" w:eastAsia="zh-CN"/>
        </w:rPr>
        <w:t>全域</w:t>
      </w:r>
      <w:r>
        <w:rPr>
          <w:rFonts w:hint="eastAsia" w:ascii="宋体" w:hAnsi="宋体" w:eastAsia="宋体" w:cs="Times New Roman"/>
          <w:bCs/>
          <w:color w:val="auto"/>
          <w:szCs w:val="21"/>
          <w:highlight w:val="none"/>
        </w:rPr>
        <w:t>。</w:t>
      </w:r>
    </w:p>
    <w:p w14:paraId="647F2F03">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六</w:t>
      </w:r>
      <w:r>
        <w:rPr>
          <w:rFonts w:hint="eastAsia" w:ascii="宋体" w:hAnsi="宋体" w:eastAsia="宋体" w:cs="Times New Roman"/>
          <w:b/>
          <w:bCs/>
          <w:color w:val="auto"/>
          <w:sz w:val="24"/>
          <w:szCs w:val="24"/>
          <w:highlight w:val="none"/>
        </w:rPr>
        <w:t>、项目要求及投标须知</w:t>
      </w:r>
    </w:p>
    <w:p w14:paraId="3895FED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项目应在自然资源部及浙江省自然资源厅规定内完成，经</w:t>
      </w:r>
      <w:r>
        <w:rPr>
          <w:rFonts w:hint="eastAsia" w:ascii="宋体" w:hAnsi="宋体" w:eastAsia="宋体" w:cs="Times New Roman"/>
          <w:bCs/>
          <w:color w:val="auto"/>
          <w:szCs w:val="21"/>
          <w:highlight w:val="none"/>
          <w:lang w:val="en-US" w:eastAsia="zh-CN"/>
        </w:rPr>
        <w:t>泰顺县</w:t>
      </w:r>
      <w:r>
        <w:rPr>
          <w:rFonts w:hint="eastAsia" w:ascii="宋体" w:hAnsi="宋体" w:eastAsia="宋体" w:cs="Times New Roman"/>
          <w:bCs/>
          <w:color w:val="auto"/>
          <w:szCs w:val="21"/>
          <w:highlight w:val="none"/>
        </w:rPr>
        <w:t>自然资源和规划局检查合格，上报省自然资源厅通过核查。</w:t>
      </w:r>
    </w:p>
    <w:p w14:paraId="4E7E6AE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本项目已有数据由</w:t>
      </w:r>
      <w:r>
        <w:rPr>
          <w:rFonts w:hint="eastAsia" w:ascii="宋体" w:hAnsi="宋体" w:eastAsia="宋体" w:cs="Times New Roman"/>
          <w:bCs/>
          <w:color w:val="auto"/>
          <w:szCs w:val="21"/>
          <w:highlight w:val="none"/>
          <w:lang w:val="en-US" w:eastAsia="zh-CN"/>
        </w:rPr>
        <w:t>泰顺县</w:t>
      </w:r>
      <w:r>
        <w:rPr>
          <w:rFonts w:hint="eastAsia" w:ascii="宋体" w:hAnsi="宋体" w:eastAsia="宋体" w:cs="Times New Roman"/>
          <w:bCs/>
          <w:color w:val="auto"/>
          <w:szCs w:val="21"/>
          <w:highlight w:val="none"/>
        </w:rPr>
        <w:t>自然资源和规划局提供。</w:t>
      </w:r>
    </w:p>
    <w:p w14:paraId="23C3882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提交的数字成果需符合自然资源部及浙江省自然资源厅要求。</w:t>
      </w:r>
    </w:p>
    <w:p w14:paraId="5CAF6780">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4</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项目完成后，</w:t>
      </w:r>
      <w:r>
        <w:rPr>
          <w:rFonts w:hint="eastAsia" w:ascii="宋体" w:hAnsi="宋体" w:eastAsia="宋体" w:cs="Times New Roman"/>
          <w:b/>
          <w:bCs/>
          <w:color w:val="auto"/>
          <w:szCs w:val="21"/>
          <w:highlight w:val="none"/>
        </w:rPr>
        <w:t>在得到自然资源部检查通过前提供免费质量保障及售后服务</w:t>
      </w:r>
      <w:r>
        <w:rPr>
          <w:rFonts w:hint="eastAsia" w:ascii="宋体" w:hAnsi="宋体" w:eastAsia="宋体" w:cs="Times New Roman"/>
          <w:bCs/>
          <w:color w:val="auto"/>
          <w:szCs w:val="21"/>
          <w:highlight w:val="none"/>
        </w:rPr>
        <w:t>。</w:t>
      </w:r>
    </w:p>
    <w:p w14:paraId="71FBC7B3">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不得将成交项目</w:t>
      </w:r>
      <w:r>
        <w:rPr>
          <w:rFonts w:hint="eastAsia" w:ascii="宋体" w:hAnsi="宋体" w:eastAsia="宋体" w:cs="Times New Roman"/>
          <w:bCs/>
          <w:color w:val="auto"/>
          <w:szCs w:val="21"/>
          <w:highlight w:val="none"/>
          <w:lang w:eastAsia="zh-CN"/>
        </w:rPr>
        <w:t>整体</w:t>
      </w:r>
      <w:r>
        <w:rPr>
          <w:rFonts w:hint="eastAsia" w:ascii="宋体" w:hAnsi="宋体" w:eastAsia="宋体" w:cs="Times New Roman"/>
          <w:bCs/>
          <w:color w:val="auto"/>
          <w:szCs w:val="21"/>
          <w:highlight w:val="none"/>
        </w:rPr>
        <w:t>转包给其他企业法人或自然人，否则采购方有权中止合同，所造成的损失由中标方承担。</w:t>
      </w:r>
    </w:p>
    <w:p w14:paraId="21438BF8">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七</w:t>
      </w:r>
      <w:r>
        <w:rPr>
          <w:rFonts w:hint="eastAsia" w:ascii="宋体" w:hAnsi="宋体" w:eastAsia="宋体" w:cs="Times New Roman"/>
          <w:b/>
          <w:bCs/>
          <w:color w:val="auto"/>
          <w:sz w:val="24"/>
          <w:szCs w:val="24"/>
          <w:highlight w:val="none"/>
        </w:rPr>
        <w:t>、主要成果</w:t>
      </w:r>
    </w:p>
    <w:p w14:paraId="69ED5ED1">
      <w:pPr>
        <w:spacing w:line="360" w:lineRule="auto"/>
        <w:ind w:firstLine="420" w:firstLineChars="200"/>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本项目成果按照2025年-202</w:t>
      </w:r>
      <w:r>
        <w:rPr>
          <w:rFonts w:hint="eastAsia" w:ascii="宋体" w:hAnsi="宋体" w:cs="Times New Roman"/>
          <w:bCs/>
          <w:color w:val="auto"/>
          <w:szCs w:val="21"/>
          <w:highlight w:val="none"/>
          <w:lang w:val="en-US" w:eastAsia="zh-CN"/>
        </w:rPr>
        <w:t>6</w:t>
      </w:r>
      <w:r>
        <w:rPr>
          <w:rFonts w:hint="eastAsia" w:ascii="宋体" w:hAnsi="宋体" w:eastAsia="宋体" w:cs="Times New Roman"/>
          <w:bCs/>
          <w:color w:val="auto"/>
          <w:szCs w:val="21"/>
          <w:highlight w:val="none"/>
          <w:lang w:val="en-US" w:eastAsia="zh-CN"/>
        </w:rPr>
        <w:t>年自然资源部和浙江省自然资源厅工作部署分年份提交。</w:t>
      </w:r>
    </w:p>
    <w:p w14:paraId="25696B89">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val="en-US" w:eastAsia="zh-CN"/>
        </w:rPr>
        <w:t>.年</w:t>
      </w:r>
      <w:r>
        <w:rPr>
          <w:rFonts w:hint="eastAsia" w:ascii="宋体" w:hAnsi="宋体" w:eastAsia="宋体" w:cs="Times New Roman"/>
          <w:bCs/>
          <w:color w:val="auto"/>
          <w:szCs w:val="21"/>
          <w:highlight w:val="none"/>
        </w:rPr>
        <w:t>度变更调查更新数据包（含增量信息与统计报表，由数据库质检软件打包生成）。</w:t>
      </w:r>
    </w:p>
    <w:p w14:paraId="714BF8AE">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“互联网+”举证成果</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国土调查云平台</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w:t>
      </w:r>
    </w:p>
    <w:p w14:paraId="2205FAD2">
      <w:pPr>
        <w:widowControl w:val="0"/>
        <w:spacing w:line="360" w:lineRule="auto"/>
        <w:ind w:firstLine="420"/>
        <w:jc w:val="both"/>
        <w:rPr>
          <w:rFonts w:ascii="宋体" w:hAnsi="宋体" w:eastAsia="宋体" w:cs="Times New Roman"/>
          <w:bCs/>
          <w:color w:val="auto"/>
          <w:kern w:val="2"/>
          <w:sz w:val="18"/>
          <w:szCs w:val="24"/>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3.举证信息表。</w:t>
      </w:r>
    </w:p>
    <w:p w14:paraId="14FA4640">
      <w:pPr>
        <w:widowControl w:val="0"/>
        <w:spacing w:line="360" w:lineRule="auto"/>
        <w:ind w:firstLine="42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4.遥感监测图斑信息核实记录表。</w:t>
      </w:r>
    </w:p>
    <w:p w14:paraId="5777D64D">
      <w:pPr>
        <w:widowControl w:val="0"/>
        <w:spacing w:line="360" w:lineRule="auto"/>
        <w:ind w:firstLine="420"/>
        <w:jc w:val="both"/>
        <w:rPr>
          <w:rFonts w:hint="default"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5.</w:t>
      </w:r>
      <w:r>
        <w:rPr>
          <w:rFonts w:hint="eastAsia" w:ascii="宋体" w:hAnsi="宋体" w:cs="Times New Roman"/>
          <w:bCs/>
          <w:color w:val="auto"/>
          <w:kern w:val="2"/>
          <w:sz w:val="21"/>
          <w:szCs w:val="21"/>
          <w:highlight w:val="none"/>
          <w:lang w:val="en-US" w:eastAsia="zh-CN" w:bidi="ar-SA"/>
        </w:rPr>
        <w:t>2026年-2027年</w:t>
      </w:r>
      <w:r>
        <w:rPr>
          <w:rFonts w:hint="eastAsia" w:ascii="宋体" w:hAnsi="宋体" w:eastAsia="宋体" w:cs="Times New Roman"/>
          <w:bCs/>
          <w:color w:val="auto"/>
          <w:kern w:val="2"/>
          <w:sz w:val="21"/>
          <w:szCs w:val="21"/>
          <w:highlight w:val="none"/>
          <w:lang w:val="en-US" w:eastAsia="zh-CN" w:bidi="ar-SA"/>
        </w:rPr>
        <w:t>日常变更数据成果（图斑分析相关表格、日常变更成果数据库等）。</w:t>
      </w:r>
    </w:p>
    <w:p w14:paraId="79C0F998">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6.</w:t>
      </w:r>
      <w:r>
        <w:rPr>
          <w:rFonts w:hint="eastAsia" w:ascii="宋体" w:hAnsi="宋体" w:eastAsia="宋体" w:cs="Times New Roman"/>
          <w:bCs/>
          <w:color w:val="auto"/>
          <w:szCs w:val="21"/>
          <w:highlight w:val="none"/>
        </w:rPr>
        <w:t>其他相关成果。</w:t>
      </w:r>
    </w:p>
    <w:p w14:paraId="2E622809">
      <w:pPr>
        <w:spacing w:line="360" w:lineRule="auto"/>
        <w:ind w:firstLine="482" w:firstLineChars="200"/>
        <w:rPr>
          <w:rFonts w:hint="eastAsia" w:ascii="宋体" w:hAnsi="宋体" w:eastAsia="宋体" w:cs="Times New Roman"/>
          <w:bCs/>
          <w:color w:val="auto"/>
          <w:szCs w:val="21"/>
          <w:highlight w:val="none"/>
        </w:rPr>
      </w:pPr>
      <w:r>
        <w:rPr>
          <w:rFonts w:hint="eastAsia" w:ascii="宋体" w:hAnsi="宋体" w:cs="Times New Roman"/>
          <w:b/>
          <w:bCs/>
          <w:color w:val="auto"/>
          <w:sz w:val="24"/>
          <w:szCs w:val="24"/>
          <w:highlight w:val="none"/>
          <w:lang w:val="en-US" w:eastAsia="zh-CN"/>
        </w:rPr>
        <w:t>八</w:t>
      </w:r>
      <w:r>
        <w:rPr>
          <w:rFonts w:hint="eastAsia" w:ascii="宋体" w:hAnsi="宋体" w:eastAsia="宋体" w:cs="Times New Roman"/>
          <w:b/>
          <w:bCs/>
          <w:color w:val="auto"/>
          <w:sz w:val="24"/>
          <w:szCs w:val="24"/>
          <w:highlight w:val="none"/>
        </w:rPr>
        <w:t>、实施要求</w:t>
      </w:r>
    </w:p>
    <w:p w14:paraId="2D4D2EF9">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项目应在自然资源部及浙江省自然资源厅规定时间内完成，经</w:t>
      </w:r>
      <w:r>
        <w:rPr>
          <w:rFonts w:hint="eastAsia" w:ascii="宋体" w:hAnsi="宋体" w:eastAsia="宋体" w:cs="Times New Roman"/>
          <w:bCs/>
          <w:color w:val="auto"/>
          <w:szCs w:val="21"/>
          <w:highlight w:val="none"/>
          <w:lang w:val="en-US" w:eastAsia="zh-CN"/>
        </w:rPr>
        <w:t>泰顺县</w:t>
      </w:r>
      <w:r>
        <w:rPr>
          <w:rFonts w:hint="eastAsia" w:ascii="宋体" w:hAnsi="宋体" w:eastAsia="宋体" w:cs="Times New Roman"/>
          <w:bCs/>
          <w:color w:val="auto"/>
          <w:szCs w:val="21"/>
          <w:highlight w:val="none"/>
        </w:rPr>
        <w:t>自然资源和规划局检查合格，经</w:t>
      </w:r>
      <w:r>
        <w:rPr>
          <w:rFonts w:hint="eastAsia" w:ascii="宋体" w:hAnsi="宋体" w:eastAsia="宋体" w:cs="Times New Roman"/>
          <w:bCs/>
          <w:color w:val="auto"/>
          <w:szCs w:val="21"/>
          <w:highlight w:val="none"/>
          <w:lang w:val="en-US" w:eastAsia="zh-CN"/>
        </w:rPr>
        <w:t>温州</w:t>
      </w:r>
      <w:r>
        <w:rPr>
          <w:rFonts w:hint="eastAsia" w:ascii="宋体" w:hAnsi="宋体" w:eastAsia="宋体" w:cs="Times New Roman"/>
          <w:bCs/>
          <w:color w:val="auto"/>
          <w:szCs w:val="21"/>
          <w:highlight w:val="none"/>
        </w:rPr>
        <w:t>市自然资源和规划局市级核查合格，上报省自然资源厅通过核查。</w:t>
      </w:r>
    </w:p>
    <w:p w14:paraId="0EBB6841">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为保证该项目的科学性、规范性和实用性，项目在进行技术设计时需要严格遵照国家、浙江省和行业颁布的相关技术标准和规范。若国家、省、市有关技术标准有变动的，以变动后的标准为准。</w:t>
      </w:r>
    </w:p>
    <w:p w14:paraId="4E40D839">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3</w:t>
      </w:r>
      <w:r>
        <w:rPr>
          <w:rFonts w:hint="eastAsia" w:ascii="宋体" w:hAnsi="宋体" w:eastAsia="宋体" w:cs="Times New Roman"/>
          <w:bCs/>
          <w:color w:val="auto"/>
          <w:szCs w:val="21"/>
          <w:highlight w:val="none"/>
          <w:lang w:val="en-US" w:eastAsia="zh-CN"/>
        </w:rPr>
        <w:t>.</w:t>
      </w:r>
      <w:r>
        <w:rPr>
          <w:rFonts w:hint="eastAsia" w:ascii="宋体" w:hAnsi="宋体" w:eastAsia="宋体" w:cs="Times New Roman"/>
          <w:bCs/>
          <w:color w:val="auto"/>
          <w:szCs w:val="21"/>
          <w:highlight w:val="none"/>
        </w:rPr>
        <w:t>项目建设开始前，中标单位应与采购单位签订安全保密协议，确保数据安全性和网络安全性，提高技术人员安全意识和个人素质。</w:t>
      </w:r>
    </w:p>
    <w:p w14:paraId="584BB12C">
      <w:pPr>
        <w:spacing w:line="360" w:lineRule="auto"/>
        <w:ind w:firstLine="482"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九</w:t>
      </w:r>
      <w:r>
        <w:rPr>
          <w:rFonts w:hint="eastAsia" w:ascii="宋体" w:hAnsi="宋体" w:eastAsia="宋体" w:cs="Times New Roman"/>
          <w:b/>
          <w:bCs/>
          <w:color w:val="auto"/>
          <w:sz w:val="24"/>
          <w:szCs w:val="24"/>
          <w:highlight w:val="none"/>
        </w:rPr>
        <w:t>、服务期限</w:t>
      </w:r>
    </w:p>
    <w:p w14:paraId="5D1FB65E">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2026年1月15日前，报送2025年度变更调查更新数据增量包；2026年1月底前，2025年度国土变更调查数据库成果通过省级核查。2026年12月31日前，按照日常变更需要分批次向省级报送日常变更调查成果；如涉及上级主管部门对项目有其他时间要求的，以实际要求为准。2026年度变更调查工作成果时间以上级自然资源主管部门最新要求为准。</w:t>
      </w:r>
    </w:p>
    <w:p w14:paraId="1BA21D87">
      <w:pPr>
        <w:numPr>
          <w:ilvl w:val="0"/>
          <w:numId w:val="8"/>
        </w:numPr>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付款方式：</w:t>
      </w:r>
    </w:p>
    <w:p w14:paraId="095C65BF">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 w:val="0"/>
          <w:bCs/>
          <w:color w:val="auto"/>
          <w:sz w:val="21"/>
          <w:szCs w:val="21"/>
          <w:highlight w:val="none"/>
          <w:lang w:val="en-US" w:eastAsia="zh-CN"/>
        </w:rPr>
        <w:t>1.履约保证金：</w:t>
      </w:r>
      <w:r>
        <w:rPr>
          <w:rFonts w:hint="eastAsia" w:ascii="宋体" w:hAnsi="宋体" w:eastAsia="宋体" w:cs="Times New Roman"/>
          <w:bCs/>
          <w:color w:val="auto"/>
          <w:sz w:val="21"/>
          <w:szCs w:val="21"/>
          <w:highlight w:val="none"/>
          <w:lang w:eastAsia="zh-CN"/>
        </w:rPr>
        <w:t>合同总价的1％作为履约保证金，签订合同后5个工作日内由成交人交入采购人帐户（履约保证金可以以银行转账、由银行或保险公司出具的保函保单等形式），待项目全部内容验收合格后的7个工作日内由采购人退还成交人。</w:t>
      </w:r>
    </w:p>
    <w:p w14:paraId="192F723E">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2.合同生效且具备支付条件后，甲方在7个工作日内支付年度合同金额(即合同金额/2)的40%作为预付款，年度项目完工，验收合格后收到乙方开具的发票后7个工作日内支付至年度合同金额的100%。</w:t>
      </w:r>
    </w:p>
    <w:p w14:paraId="65D85F40">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3.2026年度项目工作开始实施且具备支付条件后，甲方在7个工作日内支付年度合同金额(即合同金额/2)的40%作为预付款，年度项目完工，验收合格后收到乙方开具的发票后7个工作日内支付至年度合同金额的100%。</w:t>
      </w:r>
    </w:p>
    <w:p w14:paraId="5D996E72">
      <w:pPr>
        <w:spacing w:line="360" w:lineRule="auto"/>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注：付款前中标单位应按规定向采购人开具正规发票。</w:t>
      </w:r>
    </w:p>
    <w:p w14:paraId="07891657">
      <w:pPr>
        <w:spacing w:line="360" w:lineRule="auto"/>
        <w:ind w:firstLine="482" w:firstLineChars="200"/>
        <w:rPr>
          <w:rFonts w:hint="default" w:ascii="宋体" w:hAnsi="宋体" w:eastAsia="宋体" w:cs="Times New Roman"/>
          <w:bCs/>
          <w:color w:val="auto"/>
          <w:szCs w:val="21"/>
          <w:highlight w:val="none"/>
          <w:lang w:val="en-US" w:eastAsia="zh-CN"/>
        </w:rPr>
      </w:pPr>
      <w:r>
        <w:rPr>
          <w:rFonts w:hint="eastAsia" w:ascii="宋体" w:hAnsi="宋体" w:cs="Times New Roman"/>
          <w:b/>
          <w:bCs/>
          <w:color w:val="auto"/>
          <w:sz w:val="24"/>
          <w:szCs w:val="24"/>
          <w:highlight w:val="none"/>
          <w:lang w:val="en-US" w:eastAsia="zh-CN"/>
        </w:rPr>
        <w:t>十一</w:t>
      </w:r>
      <w:r>
        <w:rPr>
          <w:rFonts w:hint="eastAsia"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lang w:val="en-US" w:eastAsia="zh-CN"/>
        </w:rPr>
        <w:t>验收要求</w:t>
      </w:r>
    </w:p>
    <w:p w14:paraId="5CA5BC7E">
      <w:pPr>
        <w:pStyle w:val="5"/>
        <w:spacing w:line="360" w:lineRule="auto"/>
        <w:ind w:firstLine="420" w:firstLineChars="200"/>
        <w:rPr>
          <w:rFonts w:hint="default"/>
          <w:lang w:val="en-US" w:eastAsia="zh-CN"/>
        </w:rPr>
      </w:pPr>
      <w:r>
        <w:rPr>
          <w:rFonts w:hint="default"/>
          <w:lang w:val="en-US" w:eastAsia="zh-CN"/>
        </w:rPr>
        <w:t>成果质量通过市、省、部三级审查审核，最终成果通过自然资源部核查后，由甲方组织验收会验收通过。</w:t>
      </w:r>
    </w:p>
    <w:p w14:paraId="300DFB1C">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十二</w:t>
      </w:r>
      <w:r>
        <w:rPr>
          <w:rFonts w:hint="eastAsia" w:ascii="宋体" w:hAnsi="宋体" w:eastAsia="宋体" w:cs="Times New Roman"/>
          <w:b/>
          <w:bCs/>
          <w:color w:val="auto"/>
          <w:sz w:val="24"/>
          <w:szCs w:val="24"/>
          <w:highlight w:val="none"/>
        </w:rPr>
        <w:t>、报价要求</w:t>
      </w:r>
    </w:p>
    <w:p w14:paraId="4DD0E709">
      <w:pPr>
        <w:widowControl w:val="0"/>
        <w:spacing w:after="120" w:line="360" w:lineRule="auto"/>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1、投标人应根据招标文件报出合同总价。合同总价一旦核实确认，不得再做更改。对投标人漏报致使项目未能达到需求的功能和效果，其费用和后果由投标人自行负责。</w:t>
      </w:r>
    </w:p>
    <w:p w14:paraId="7A3F894B">
      <w:pPr>
        <w:widowControl w:val="0"/>
        <w:spacing w:after="120" w:line="360" w:lineRule="auto"/>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2、所有报价均应已包含国家规定的所有税费。</w:t>
      </w:r>
    </w:p>
    <w:p w14:paraId="040AE122">
      <w:pPr>
        <w:widowControl w:val="0"/>
        <w:spacing w:after="120" w:line="360" w:lineRule="auto"/>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3、投标人报价应包含项目过程中发生的所有费用。</w:t>
      </w:r>
    </w:p>
    <w:p w14:paraId="6DC577A3">
      <w:pPr>
        <w:widowControl w:val="0"/>
        <w:spacing w:after="120" w:line="360" w:lineRule="auto"/>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4、投标人免费提供的部件必须注明“免费”或数字“0”，但不能省略，如有严重缺漏项，视为无效标。</w:t>
      </w:r>
    </w:p>
    <w:p w14:paraId="6014ED50">
      <w:pPr>
        <w:shd w:val="clear" w:color="auto" w:fill="auto"/>
        <w:autoSpaceDE/>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 w:val="0"/>
          <w:bCs/>
          <w:color w:val="auto"/>
          <w:szCs w:val="21"/>
          <w:highlight w:val="none"/>
        </w:rPr>
        <w:t>5、本次项目</w:t>
      </w:r>
      <w:r>
        <w:rPr>
          <w:rFonts w:hint="eastAsia" w:ascii="宋体" w:hAnsi="宋体" w:eastAsia="宋体" w:cs="Times New Roman"/>
          <w:color w:val="auto"/>
          <w:kern w:val="2"/>
          <w:sz w:val="21"/>
          <w:szCs w:val="21"/>
          <w:highlight w:val="none"/>
          <w:lang w:val="en-US" w:eastAsia="zh-CN" w:bidi="ar-SA"/>
        </w:rPr>
        <w:t>的预算金额为：人民币叁佰贰拾万元整（3200000元）。</w:t>
      </w:r>
    </w:p>
    <w:p w14:paraId="26B0ABC8">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十</w:t>
      </w:r>
      <w:r>
        <w:rPr>
          <w:rFonts w:hint="eastAsia" w:ascii="宋体" w:hAnsi="宋体" w:cs="Times New Roman"/>
          <w:b/>
          <w:bCs/>
          <w:color w:val="auto"/>
          <w:sz w:val="24"/>
          <w:szCs w:val="24"/>
          <w:highlight w:val="none"/>
          <w:lang w:val="en-US" w:eastAsia="zh-CN"/>
        </w:rPr>
        <w:t>三</w:t>
      </w:r>
      <w:r>
        <w:rPr>
          <w:rFonts w:hint="eastAsia" w:ascii="宋体" w:hAnsi="宋体" w:eastAsia="宋体" w:cs="Times New Roman"/>
          <w:b/>
          <w:bCs/>
          <w:color w:val="auto"/>
          <w:sz w:val="24"/>
          <w:szCs w:val="24"/>
          <w:highlight w:val="none"/>
        </w:rPr>
        <w:t>、成果版权及使用</w:t>
      </w:r>
    </w:p>
    <w:p w14:paraId="39879A7D">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本次成果所有权和使用权均属于采购人。中标单位不得以任何借口留存，否则承担由此产生的一切法律和经济责任。未经允许，任何单位和个人不得转让和使用本项目的成果。合同另有约定的，从其约定。</w:t>
      </w:r>
    </w:p>
    <w:p w14:paraId="2C034827">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十</w:t>
      </w:r>
      <w:r>
        <w:rPr>
          <w:rFonts w:hint="eastAsia" w:ascii="宋体" w:hAnsi="宋体" w:cs="Times New Roman"/>
          <w:b/>
          <w:bCs/>
          <w:color w:val="auto"/>
          <w:sz w:val="24"/>
          <w:szCs w:val="24"/>
          <w:highlight w:val="none"/>
          <w:lang w:val="en-US" w:eastAsia="zh-CN"/>
        </w:rPr>
        <w:t>四</w:t>
      </w:r>
      <w:r>
        <w:rPr>
          <w:rFonts w:hint="eastAsia" w:ascii="宋体" w:hAnsi="宋体" w:eastAsia="宋体" w:cs="Times New Roman"/>
          <w:b/>
          <w:bCs/>
          <w:color w:val="auto"/>
          <w:sz w:val="24"/>
          <w:szCs w:val="24"/>
          <w:highlight w:val="none"/>
        </w:rPr>
        <w:t>、其他</w:t>
      </w:r>
    </w:p>
    <w:p w14:paraId="31028E17">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1、投标人或中标人应对招标、实施、运行、维护等过程中数据和信息安全负保密责任，并在信息系统中采取保密措施，因此造成的不良影响和损失，应承担相应责任。</w:t>
      </w:r>
    </w:p>
    <w:p w14:paraId="26536373">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2、质量管理、企业信用要求：质量管理符合相应标准，企业无不良诚信记。</w:t>
      </w:r>
    </w:p>
    <w:p w14:paraId="24BD66C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3、中标人需与招标人签订保密协议，保证数据在项目生产过程中不会向外界泄露。</w:t>
      </w:r>
    </w:p>
    <w:p w14:paraId="3043B3E7">
      <w:pPr>
        <w:pStyle w:val="20"/>
        <w:ind w:firstLine="0"/>
        <w:rPr>
          <w:color w:val="auto"/>
          <w:highlight w:val="none"/>
        </w:rPr>
      </w:pPr>
    </w:p>
    <w:p w14:paraId="01C2F25E">
      <w:pPr>
        <w:pStyle w:val="20"/>
        <w:ind w:firstLine="0"/>
        <w:rPr>
          <w:color w:val="auto"/>
          <w:highlight w:val="none"/>
        </w:rPr>
      </w:pPr>
    </w:p>
    <w:p w14:paraId="7D24D545">
      <w:pPr>
        <w:pStyle w:val="20"/>
        <w:ind w:firstLine="0"/>
        <w:rPr>
          <w:color w:val="auto"/>
          <w:highlight w:val="none"/>
        </w:rPr>
      </w:pPr>
    </w:p>
    <w:p w14:paraId="3EC78B16">
      <w:pPr>
        <w:pStyle w:val="20"/>
        <w:ind w:firstLine="0"/>
        <w:rPr>
          <w:color w:val="auto"/>
          <w:highlight w:val="none"/>
        </w:rPr>
      </w:pPr>
    </w:p>
    <w:p w14:paraId="312A7178">
      <w:pPr>
        <w:pStyle w:val="20"/>
        <w:ind w:firstLine="0"/>
        <w:rPr>
          <w:color w:val="auto"/>
          <w:highlight w:val="none"/>
        </w:rPr>
      </w:pPr>
    </w:p>
    <w:p w14:paraId="5F5EEA56">
      <w:pPr>
        <w:adjustRightInd w:val="0"/>
        <w:spacing w:line="400" w:lineRule="atLeast"/>
        <w:ind w:firstLine="708" w:firstLineChars="196"/>
        <w:jc w:val="center"/>
        <w:outlineLvl w:val="0"/>
        <w:rPr>
          <w:rFonts w:ascii="宋体" w:cs="??_GB2312"/>
          <w:b/>
          <w:color w:val="auto"/>
          <w:sz w:val="32"/>
          <w:szCs w:val="32"/>
          <w:highlight w:val="none"/>
          <w:lang w:val="zh-CN"/>
        </w:rPr>
      </w:pPr>
      <w:r>
        <w:rPr>
          <w:rFonts w:hint="eastAsia" w:ascii="宋体"/>
          <w:b/>
          <w:bCs/>
          <w:color w:val="auto"/>
          <w:sz w:val="36"/>
          <w:szCs w:val="36"/>
          <w:highlight w:val="none"/>
          <w:lang w:val="zh-CN"/>
        </w:rPr>
        <w:t>第三部分   供应商须知</w:t>
      </w:r>
    </w:p>
    <w:p w14:paraId="4EC38406">
      <w:pPr>
        <w:autoSpaceDE w:val="0"/>
        <w:autoSpaceDN w:val="0"/>
        <w:adjustRightInd w:val="0"/>
        <w:spacing w:line="450" w:lineRule="atLeast"/>
        <w:outlineLvl w:val="1"/>
        <w:rPr>
          <w:rFonts w:ascii="宋体" w:cs="??_GB2312"/>
          <w:b/>
          <w:color w:val="auto"/>
          <w:sz w:val="22"/>
          <w:highlight w:val="none"/>
          <w:lang w:val="zh-CN"/>
        </w:rPr>
      </w:pPr>
      <w:r>
        <w:rPr>
          <w:rFonts w:hint="eastAsia" w:ascii="宋体" w:hAnsi="宋体" w:cs="??_GB2312"/>
          <w:b/>
          <w:color w:val="auto"/>
          <w:sz w:val="22"/>
          <w:highlight w:val="none"/>
          <w:lang w:val="zh-CN"/>
        </w:rPr>
        <w:t>一、说明</w:t>
      </w:r>
    </w:p>
    <w:p w14:paraId="72F4C38A">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w:t>
      </w:r>
      <w:r>
        <w:rPr>
          <w:rFonts w:ascii="宋体"/>
          <w:color w:val="auto"/>
          <w:sz w:val="22"/>
          <w:highlight w:val="none"/>
          <w:lang w:val="zh-CN"/>
        </w:rPr>
        <w:t>2015</w:t>
      </w:r>
      <w:r>
        <w:rPr>
          <w:rFonts w:hint="eastAsia" w:ascii="宋体"/>
          <w:color w:val="auto"/>
          <w:sz w:val="22"/>
          <w:highlight w:val="none"/>
          <w:lang w:val="zh-CN"/>
        </w:rPr>
        <w:t>〕</w:t>
      </w:r>
      <w:r>
        <w:rPr>
          <w:rFonts w:ascii="宋体"/>
          <w:color w:val="auto"/>
          <w:sz w:val="22"/>
          <w:highlight w:val="none"/>
          <w:lang w:val="zh-CN"/>
        </w:rPr>
        <w:t>124</w:t>
      </w:r>
      <w:r>
        <w:rPr>
          <w:rFonts w:hint="eastAsia" w:ascii="宋体"/>
          <w:color w:val="auto"/>
          <w:sz w:val="22"/>
          <w:highlight w:val="none"/>
          <w:lang w:val="zh-CN"/>
        </w:rPr>
        <w:t>号）及相关法律规章组织和实施。</w:t>
      </w:r>
    </w:p>
    <w:p w14:paraId="2A735F06">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2、供应商必须对全部内容进行投标报价，只对部分内容进行报价的供应商将按无效投标处理。</w:t>
      </w:r>
    </w:p>
    <w:p w14:paraId="0875A4CB">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3、无论投标过程中的作法和结果如何，供应商自行承担投标活动中所发生的全部费用；采购单位有权选择供应商的供货和服务范围。</w:t>
      </w:r>
    </w:p>
    <w:p w14:paraId="2E843755">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080A17F7">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5、知识产权</w:t>
      </w:r>
    </w:p>
    <w:p w14:paraId="0139F6E7">
      <w:pPr>
        <w:adjustRightInd w:val="0"/>
        <w:spacing w:line="400" w:lineRule="atLeast"/>
        <w:ind w:firstLine="431" w:firstLineChars="196"/>
        <w:rPr>
          <w:rFonts w:ascii="宋体"/>
          <w:color w:val="auto"/>
          <w:sz w:val="22"/>
          <w:highlight w:val="none"/>
        </w:rPr>
      </w:pPr>
      <w:r>
        <w:rPr>
          <w:rFonts w:ascii="宋体"/>
          <w:color w:val="auto"/>
          <w:sz w:val="22"/>
          <w:highlight w:val="none"/>
        </w:rPr>
        <w:t>5.1</w:t>
      </w:r>
      <w:r>
        <w:rPr>
          <w:rFonts w:hint="eastAsia" w:ascii="宋体"/>
          <w:color w:val="auto"/>
          <w:sz w:val="22"/>
          <w:highlight w:val="none"/>
        </w:rPr>
        <w:t>供应商应保证，采购单位在中华人民共和国使用货物和服务的任何一部分时，免受第三方提出侵犯其专利权、商标权或其它知识产权的起诉。</w:t>
      </w:r>
    </w:p>
    <w:p w14:paraId="005D76E2">
      <w:pPr>
        <w:adjustRightInd w:val="0"/>
        <w:spacing w:line="400" w:lineRule="atLeast"/>
        <w:ind w:firstLine="431" w:firstLineChars="196"/>
        <w:rPr>
          <w:rFonts w:ascii="宋体"/>
          <w:color w:val="auto"/>
          <w:sz w:val="22"/>
          <w:highlight w:val="none"/>
        </w:rPr>
      </w:pPr>
      <w:r>
        <w:rPr>
          <w:rFonts w:ascii="宋体"/>
          <w:color w:val="auto"/>
          <w:sz w:val="22"/>
          <w:highlight w:val="none"/>
        </w:rPr>
        <w:t>5.2</w:t>
      </w:r>
      <w:r>
        <w:rPr>
          <w:rFonts w:hint="eastAsia" w:ascii="宋体"/>
          <w:color w:val="auto"/>
          <w:sz w:val="22"/>
          <w:highlight w:val="none"/>
        </w:rPr>
        <w:t>投标供应商应对采购单位在使用该产品时所涉及到的专利权负责，不损害采购单位的利益。</w:t>
      </w:r>
    </w:p>
    <w:p w14:paraId="20474C5C">
      <w:pPr>
        <w:adjustRightInd w:val="0"/>
        <w:spacing w:line="400" w:lineRule="atLeast"/>
        <w:ind w:firstLine="431" w:firstLineChars="196"/>
        <w:rPr>
          <w:rFonts w:ascii="宋体"/>
          <w:color w:val="auto"/>
          <w:sz w:val="22"/>
          <w:highlight w:val="none"/>
        </w:rPr>
      </w:pPr>
      <w:r>
        <w:rPr>
          <w:rFonts w:ascii="宋体"/>
          <w:color w:val="auto"/>
          <w:sz w:val="22"/>
          <w:highlight w:val="none"/>
        </w:rPr>
        <w:t>5.3</w:t>
      </w:r>
      <w:r>
        <w:rPr>
          <w:rFonts w:hint="eastAsia" w:ascii="宋体"/>
          <w:color w:val="auto"/>
          <w:sz w:val="22"/>
          <w:highlight w:val="none"/>
        </w:rPr>
        <w:t>报价应包括所有应支付的对专利权和版权、设计或其他知识产权而需要向其他方支付的版税。</w:t>
      </w:r>
    </w:p>
    <w:p w14:paraId="7CC16736">
      <w:pPr>
        <w:adjustRightInd w:val="0"/>
        <w:spacing w:line="400" w:lineRule="atLeast"/>
        <w:ind w:firstLine="431" w:firstLineChars="196"/>
        <w:rPr>
          <w:rFonts w:ascii="宋体"/>
          <w:color w:val="auto"/>
          <w:sz w:val="22"/>
          <w:highlight w:val="none"/>
        </w:rPr>
      </w:pPr>
      <w:r>
        <w:rPr>
          <w:rFonts w:ascii="宋体"/>
          <w:color w:val="auto"/>
          <w:sz w:val="22"/>
          <w:highlight w:val="none"/>
        </w:rPr>
        <w:t>5.4</w:t>
      </w:r>
      <w:r>
        <w:rPr>
          <w:rFonts w:hint="eastAsia" w:ascii="宋体"/>
          <w:color w:val="auto"/>
          <w:sz w:val="22"/>
          <w:highlight w:val="none"/>
        </w:rPr>
        <w:t>投标供应商提供得货物中如使用其他公司的相关专利，应在标书中出示相关授权，如未出示但使用了其他公司的专利，导致供应商中标而引起相关诉讼，由投标供应商承担。</w:t>
      </w:r>
    </w:p>
    <w:p w14:paraId="4E2B7B30">
      <w:pPr>
        <w:adjustRightInd w:val="0"/>
        <w:spacing w:line="400" w:lineRule="atLeast"/>
        <w:ind w:firstLine="431" w:firstLineChars="196"/>
        <w:rPr>
          <w:rFonts w:ascii="宋体" w:cs="??_GB2312"/>
          <w:color w:val="auto"/>
          <w:sz w:val="22"/>
          <w:highlight w:val="none"/>
          <w:lang w:val="zh-CN"/>
        </w:rPr>
      </w:pPr>
      <w:r>
        <w:rPr>
          <w:rFonts w:hint="eastAsia" w:ascii="宋体" w:hAnsi="宋体" w:cs="??_GB2312"/>
          <w:color w:val="auto"/>
          <w:sz w:val="22"/>
          <w:highlight w:val="none"/>
        </w:rPr>
        <w:t>6、</w:t>
      </w:r>
      <w:r>
        <w:rPr>
          <w:rFonts w:hint="eastAsia" w:ascii="宋体" w:hAnsi="宋体" w:cs="??_GB2312"/>
          <w:color w:val="auto"/>
          <w:sz w:val="22"/>
          <w:highlight w:val="none"/>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300D479F">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7、</w:t>
      </w:r>
      <w:r>
        <w:rPr>
          <w:rFonts w:hint="eastAsia" w:ascii="宋体" w:hAnsi="宋体" w:cs="仿宋_GB2312"/>
          <w:color w:val="auto"/>
          <w:sz w:val="22"/>
          <w:szCs w:val="22"/>
          <w:highlight w:val="none"/>
          <w:lang w:val="zh-CN"/>
        </w:rPr>
        <w:t>本项目投标文件签章须采用供应商正式公章，不得以投标专用章或业务章、合同章等代替。</w:t>
      </w:r>
    </w:p>
    <w:p w14:paraId="02A00923">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8</w:t>
      </w:r>
      <w:r>
        <w:rPr>
          <w:rFonts w:hint="eastAsia" w:ascii="宋体" w:hAnsi="宋体" w:cs="??_GB2312"/>
          <w:color w:val="auto"/>
          <w:sz w:val="22"/>
          <w:highlight w:val="none"/>
          <w:lang w:val="zh-CN"/>
        </w:rPr>
        <w:t>、</w:t>
      </w:r>
      <w:r>
        <w:rPr>
          <w:rFonts w:hint="eastAsia" w:ascii="宋体" w:hAnsi="宋体" w:cs="仿宋_GB2312"/>
          <w:color w:val="auto"/>
          <w:sz w:val="22"/>
          <w:szCs w:val="22"/>
          <w:highlight w:val="none"/>
          <w:lang w:val="zh-CN"/>
        </w:rPr>
        <w:t>为采购项目提供整体设计、规范编制或者项目管理、监理、检测等服务的供应商，不得再参加该采购项目的其他采购活动。</w:t>
      </w:r>
    </w:p>
    <w:p w14:paraId="5901B117">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▲9、供应商须具有良好的商业信誉：</w:t>
      </w:r>
    </w:p>
    <w:p w14:paraId="3CED8C7D">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9.1供应商在全国企业信用信息公示系统网：（</w:t>
      </w:r>
      <w:r>
        <w:rPr>
          <w:rFonts w:ascii="宋体" w:hAnsi="宋体"/>
          <w:b/>
          <w:color w:val="auto"/>
          <w:sz w:val="22"/>
          <w:highlight w:val="none"/>
          <w:u w:val="single"/>
        </w:rPr>
        <w:t>http://gsxt.saic.gov.cn/</w:t>
      </w:r>
      <w:r>
        <w:rPr>
          <w:rFonts w:hint="eastAsia" w:ascii="宋体" w:hAnsi="宋体"/>
          <w:b/>
          <w:color w:val="auto"/>
          <w:sz w:val="22"/>
          <w:highlight w:val="none"/>
          <w:u w:val="single"/>
        </w:rPr>
        <w:t>）无严重违法企业记录。</w:t>
      </w:r>
    </w:p>
    <w:p w14:paraId="55299971">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9.2供应商在中国执行信息公开网（</w:t>
      </w:r>
      <w:r>
        <w:rPr>
          <w:rFonts w:ascii="宋体" w:hAnsi="宋体"/>
          <w:b/>
          <w:color w:val="auto"/>
          <w:sz w:val="22"/>
          <w:highlight w:val="none"/>
          <w:u w:val="single"/>
        </w:rPr>
        <w:t>http://shixin.court.gov.cn/</w:t>
      </w:r>
      <w:r>
        <w:rPr>
          <w:rFonts w:hint="eastAsia" w:ascii="宋体" w:hAnsi="宋体"/>
          <w:b/>
          <w:color w:val="auto"/>
          <w:sz w:val="22"/>
          <w:highlight w:val="none"/>
          <w:u w:val="single"/>
        </w:rPr>
        <w:t>）无失信信息记录。</w:t>
      </w:r>
    </w:p>
    <w:p w14:paraId="362B97EF">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9.3供应商在中国政府采购网（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p>
    <w:p w14:paraId="12E1981F">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b/>
          <w:color w:val="auto"/>
          <w:sz w:val="22"/>
          <w:highlight w:val="none"/>
          <w:u w:val="single"/>
        </w:rPr>
        <w:t>9.4未被各级财政部门列入政府采购黑名单或被各级财政部门禁止参加政府采购项目投标。如供应商有上述情形并参与本项目投标的，一经查实，其投标做无效投标处理。</w:t>
      </w:r>
    </w:p>
    <w:p w14:paraId="150C1CA4">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b/>
          <w:color w:val="auto"/>
          <w:sz w:val="22"/>
          <w:highlight w:val="none"/>
          <w:u w:val="single"/>
        </w:rPr>
        <w:t>10、中标/成交供应商必须通过浙江政府采购网（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ascii="宋体" w:hAnsi="宋体"/>
          <w:b/>
          <w:color w:val="auto"/>
          <w:sz w:val="22"/>
          <w:highlight w:val="none"/>
          <w:u w:val="single"/>
        </w:rPr>
        <w:t>www.zjzfcg.gov.cn</w:t>
      </w:r>
      <w:r>
        <w:rPr>
          <w:rFonts w:ascii="宋体" w:hAnsi="宋体"/>
          <w:b/>
          <w:color w:val="auto"/>
          <w:sz w:val="22"/>
          <w:highlight w:val="none"/>
          <w:u w:val="single"/>
        </w:rPr>
        <w:fldChar w:fldCharType="end"/>
      </w:r>
      <w:r>
        <w:rPr>
          <w:rFonts w:hint="eastAsia" w:ascii="宋体" w:hAnsi="宋体"/>
          <w:b/>
          <w:color w:val="auto"/>
          <w:sz w:val="22"/>
          <w:highlight w:val="none"/>
          <w:u w:val="single"/>
        </w:rPr>
        <w:t>）或各地分网站，向注册所在地或组织采购活动的采购代理机构（包括集中采购机构和社会中介采购代理机构）、采购单位等进行注册申请，按规定审核后，登记加入</w:t>
      </w:r>
      <w:r>
        <w:rPr>
          <w:rFonts w:hint="eastAsia" w:ascii="宋体"/>
          <w:b/>
          <w:color w:val="auto"/>
          <w:sz w:val="22"/>
          <w:highlight w:val="none"/>
          <w:u w:val="single"/>
        </w:rPr>
        <w:t>“</w:t>
      </w:r>
      <w:r>
        <w:rPr>
          <w:rFonts w:hint="eastAsia" w:ascii="宋体" w:hAnsi="宋体"/>
          <w:b/>
          <w:color w:val="auto"/>
          <w:sz w:val="22"/>
          <w:highlight w:val="none"/>
          <w:u w:val="single"/>
        </w:rPr>
        <w:t>浙江省政府采购供应商库</w:t>
      </w:r>
      <w:r>
        <w:rPr>
          <w:rFonts w:hint="eastAsia" w:ascii="宋体"/>
          <w:b/>
          <w:color w:val="auto"/>
          <w:sz w:val="22"/>
          <w:highlight w:val="none"/>
          <w:u w:val="single"/>
        </w:rPr>
        <w:t>”</w:t>
      </w:r>
      <w:r>
        <w:rPr>
          <w:rFonts w:hint="eastAsia" w:ascii="宋体" w:hAnsi="宋体"/>
          <w:b/>
          <w:color w:val="auto"/>
          <w:sz w:val="22"/>
          <w:highlight w:val="none"/>
          <w:u w:val="single"/>
        </w:rPr>
        <w:t>。</w:t>
      </w:r>
    </w:p>
    <w:p w14:paraId="7F71DF21">
      <w:pPr>
        <w:widowControl/>
        <w:snapToGrid w:val="0"/>
        <w:spacing w:line="380" w:lineRule="exact"/>
        <w:ind w:firstLine="442" w:firstLineChars="200"/>
        <w:rPr>
          <w:rFonts w:ascii="宋体" w:hAnsi="宋体"/>
          <w:color w:val="auto"/>
          <w:sz w:val="22"/>
          <w:highlight w:val="none"/>
          <w:u w:val="single"/>
        </w:rPr>
      </w:pPr>
      <w:r>
        <w:rPr>
          <w:rFonts w:hint="eastAsia" w:ascii="宋体" w:hAnsi="宋体"/>
          <w:b/>
          <w:color w:val="auto"/>
          <w:sz w:val="22"/>
          <w:highlight w:val="none"/>
          <w:u w:val="single"/>
        </w:rPr>
        <w:t>▲</w:t>
      </w:r>
      <w:r>
        <w:rPr>
          <w:rFonts w:hint="eastAsia" w:ascii="宋体" w:hAnsi="宋体"/>
          <w:b/>
          <w:bCs/>
          <w:color w:val="auto"/>
          <w:sz w:val="22"/>
          <w:highlight w:val="none"/>
          <w:u w:val="single"/>
        </w:rPr>
        <w:t>11、本项目采用资格后审，符合资格要求的供应商均可在本公告附件下载竞争性磋商文件，并按竞争性磋商文件规定的时间、地点递交响应文件（竞争性磋商文件下载网址：</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hAnsi="宋体"/>
          <w:b/>
          <w:bCs/>
          <w:color w:val="auto"/>
          <w:sz w:val="22"/>
          <w:highlight w:val="none"/>
          <w:u w:val="single"/>
        </w:rPr>
        <w:t>）或</w:t>
      </w:r>
      <w:r>
        <w:rPr>
          <w:rFonts w:hint="eastAsia" w:ascii="宋体" w:hAnsi="宋体"/>
          <w:b/>
          <w:bCs/>
          <w:color w:val="auto"/>
          <w:sz w:val="22"/>
          <w:highlight w:val="none"/>
          <w:u w:val="single"/>
        </w:rPr>
        <w:t>泰顺县人民政府网 县公共资源交易中心（http://www.ts.gov.cn/col/col1383420/index.html）</w:t>
      </w:r>
      <w:r>
        <w:rPr>
          <w:rFonts w:ascii="宋体" w:hAnsi="宋体"/>
          <w:b/>
          <w:bCs/>
          <w:color w:val="auto"/>
          <w:sz w:val="22"/>
          <w:highlight w:val="none"/>
          <w:u w:val="single"/>
        </w:rPr>
        <w:t>,</w:t>
      </w:r>
      <w:r>
        <w:rPr>
          <w:rFonts w:hint="eastAsia" w:ascii="宋体" w:hAnsi="宋体"/>
          <w:b/>
          <w:bCs/>
          <w:color w:val="auto"/>
          <w:sz w:val="22"/>
          <w:highlight w:val="none"/>
          <w:u w:val="single"/>
        </w:rPr>
        <w:t>竞争性磋商文件如有补充更正均见</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ascii="宋体" w:hAnsi="宋体"/>
          <w:b/>
          <w:bCs/>
          <w:color w:val="auto"/>
          <w:sz w:val="22"/>
          <w:highlight w:val="none"/>
          <w:u w:val="single"/>
        </w:rPr>
        <w:t>）</w:t>
      </w:r>
      <w:r>
        <w:rPr>
          <w:rFonts w:hint="eastAsia" w:hAnsi="宋体"/>
          <w:b/>
          <w:bCs/>
          <w:color w:val="auto"/>
          <w:sz w:val="22"/>
          <w:highlight w:val="none"/>
          <w:u w:val="single"/>
        </w:rPr>
        <w:t>或</w:t>
      </w:r>
      <w:bookmarkStart w:id="6" w:name="_Hlk518910530"/>
      <w:r>
        <w:rPr>
          <w:rFonts w:hint="eastAsia" w:ascii="宋体" w:hAnsi="宋体"/>
          <w:b/>
          <w:bCs/>
          <w:color w:val="auto"/>
          <w:sz w:val="22"/>
          <w:highlight w:val="none"/>
          <w:u w:val="single"/>
        </w:rPr>
        <w:t>泰顺县人民政府网 县公共资源交易中心（http://www.ts.gov.cn/col/col1383420/index.html）。</w:t>
      </w:r>
      <w:bookmarkEnd w:id="6"/>
      <w:r>
        <w:rPr>
          <w:rFonts w:hint="eastAsia" w:ascii="宋体" w:hAnsi="宋体"/>
          <w:b/>
          <w:bCs/>
          <w:color w:val="auto"/>
          <w:sz w:val="22"/>
          <w:highlight w:val="none"/>
          <w:u w:val="single"/>
        </w:rPr>
        <w:t>供应商须在投标截止前自行查看是否有补充、更正文件，并按补充、更正文件要求投标，否则责任自负。</w:t>
      </w:r>
    </w:p>
    <w:p w14:paraId="4BF94D3F">
      <w:pPr>
        <w:autoSpaceDE w:val="0"/>
        <w:autoSpaceDN w:val="0"/>
        <w:adjustRightInd w:val="0"/>
        <w:spacing w:line="400" w:lineRule="atLeast"/>
        <w:ind w:firstLine="440" w:firstLineChars="200"/>
        <w:rPr>
          <w:rFonts w:ascii="宋体" w:hAnsi="宋体" w:cs="??_GB2312"/>
          <w:color w:val="auto"/>
          <w:sz w:val="22"/>
          <w:highlight w:val="none"/>
          <w:lang w:val="zh-CN"/>
        </w:rPr>
      </w:pPr>
      <w:r>
        <w:rPr>
          <w:rFonts w:hint="eastAsia" w:ascii="宋体" w:hAnsi="宋体" w:cs="??_GB2312"/>
          <w:color w:val="auto"/>
          <w:sz w:val="22"/>
          <w:highlight w:val="none"/>
        </w:rPr>
        <w:t>12</w:t>
      </w:r>
      <w:r>
        <w:rPr>
          <w:rFonts w:hint="eastAsia" w:ascii="宋体" w:hAnsi="宋体" w:cs="??_GB2312"/>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3A37FE99">
      <w:pPr>
        <w:autoSpaceDE w:val="0"/>
        <w:autoSpaceDN w:val="0"/>
        <w:adjustRightInd w:val="0"/>
        <w:spacing w:line="400" w:lineRule="atLeast"/>
        <w:outlineLvl w:val="1"/>
        <w:rPr>
          <w:rFonts w:ascii="宋体" w:cs="??_GB2312"/>
          <w:b/>
          <w:color w:val="auto"/>
          <w:sz w:val="22"/>
          <w:highlight w:val="none"/>
          <w:lang w:val="zh-CN"/>
        </w:rPr>
      </w:pPr>
      <w:r>
        <w:rPr>
          <w:rFonts w:hint="eastAsia" w:ascii="宋体" w:hAnsi="宋体" w:cs="??_GB2312"/>
          <w:b/>
          <w:color w:val="auto"/>
          <w:sz w:val="22"/>
          <w:highlight w:val="none"/>
          <w:lang w:val="zh-CN"/>
        </w:rPr>
        <w:t>二、竞争性磋商文件</w:t>
      </w:r>
    </w:p>
    <w:p w14:paraId="6C134A90">
      <w:pPr>
        <w:spacing w:line="400" w:lineRule="atLeast"/>
        <w:ind w:firstLine="420"/>
        <w:outlineLvl w:val="2"/>
        <w:rPr>
          <w:rFonts w:ascii="宋体"/>
          <w:color w:val="auto"/>
          <w:sz w:val="22"/>
          <w:highlight w:val="none"/>
        </w:rPr>
      </w:pPr>
      <w:r>
        <w:rPr>
          <w:rFonts w:ascii="宋体" w:hAnsi="宋体" w:cs="??_GB2312"/>
          <w:color w:val="auto"/>
          <w:sz w:val="22"/>
          <w:highlight w:val="none"/>
          <w:lang w:val="zh-CN"/>
        </w:rPr>
        <w:t>1</w:t>
      </w:r>
      <w:r>
        <w:rPr>
          <w:rFonts w:hint="eastAsia" w:ascii="宋体" w:hAnsi="宋体" w:cs="??_GB2312"/>
          <w:color w:val="auto"/>
          <w:sz w:val="22"/>
          <w:highlight w:val="none"/>
          <w:lang w:val="zh-CN"/>
        </w:rPr>
        <w:t>、竞争性磋商文件</w:t>
      </w:r>
    </w:p>
    <w:p w14:paraId="58C4D3ED">
      <w:pPr>
        <w:autoSpaceDE w:val="0"/>
        <w:autoSpaceDN w:val="0"/>
        <w:adjustRightInd w:val="0"/>
        <w:spacing w:line="400" w:lineRule="atLeast"/>
        <w:ind w:firstLine="420"/>
        <w:rPr>
          <w:rFonts w:ascii="宋体" w:cs="??_GB2312"/>
          <w:color w:val="auto"/>
          <w:sz w:val="22"/>
          <w:highlight w:val="none"/>
          <w:lang w:val="zh-CN"/>
        </w:rPr>
      </w:pPr>
      <w:r>
        <w:rPr>
          <w:rFonts w:ascii="宋体" w:hAnsi="宋体" w:cs="??_GB2312"/>
          <w:color w:val="auto"/>
          <w:sz w:val="22"/>
          <w:highlight w:val="none"/>
          <w:lang w:val="zh-CN"/>
        </w:rPr>
        <w:t>1.1</w:t>
      </w:r>
      <w:r>
        <w:rPr>
          <w:rFonts w:hint="eastAsia" w:ascii="宋体" w:hAnsi="宋体" w:cs="??_GB2312"/>
          <w:color w:val="auto"/>
          <w:sz w:val="22"/>
          <w:highlight w:val="none"/>
          <w:lang w:val="zh-CN"/>
        </w:rPr>
        <w:t>竞争性磋商文件的发放</w:t>
      </w:r>
    </w:p>
    <w:p w14:paraId="71D4AF8E">
      <w:pPr>
        <w:autoSpaceDE w:val="0"/>
        <w:autoSpaceDN w:val="0"/>
        <w:adjustRightInd w:val="0"/>
        <w:spacing w:line="400" w:lineRule="atLeast"/>
        <w:ind w:firstLine="770" w:firstLineChars="350"/>
        <w:rPr>
          <w:rFonts w:ascii="宋体" w:cs="??_GB2312"/>
          <w:color w:val="auto"/>
          <w:sz w:val="22"/>
          <w:highlight w:val="none"/>
          <w:lang w:val="zh-CN"/>
        </w:rPr>
      </w:pPr>
      <w:r>
        <w:rPr>
          <w:rFonts w:hint="eastAsia" w:ascii="宋体" w:hAnsi="宋体" w:cs="??_GB2312"/>
          <w:color w:val="auto"/>
          <w:sz w:val="22"/>
          <w:highlight w:val="none"/>
          <w:lang w:val="zh-CN"/>
        </w:rPr>
        <w:t>本项目直接</w:t>
      </w:r>
      <w:r>
        <w:rPr>
          <w:rFonts w:ascii="宋体" w:hAnsi="宋体" w:cs="??_GB2312"/>
          <w:color w:val="auto"/>
          <w:sz w:val="22"/>
          <w:highlight w:val="none"/>
          <w:lang w:val="zh-CN"/>
        </w:rPr>
        <w:t>在</w:t>
      </w:r>
      <w:r>
        <w:rPr>
          <w:rFonts w:hint="eastAsia" w:ascii="宋体" w:hAnsi="宋体" w:cs="??_GB2312"/>
          <w:color w:val="auto"/>
          <w:sz w:val="22"/>
          <w:highlight w:val="none"/>
          <w:lang w:val="zh-CN"/>
        </w:rPr>
        <w:t>上</w:t>
      </w:r>
      <w:r>
        <w:rPr>
          <w:rFonts w:hint="eastAsia" w:ascii="宋体" w:hAnsi="宋体" w:cs="??_GB2312"/>
          <w:color w:val="auto"/>
          <w:sz w:val="22"/>
          <w:highlight w:val="none"/>
        </w:rPr>
        <w:t>下载</w:t>
      </w:r>
      <w:r>
        <w:rPr>
          <w:rFonts w:hint="eastAsia" w:ascii="宋体" w:hAnsi="宋体" w:cs="??_GB2312"/>
          <w:color w:val="auto"/>
          <w:sz w:val="22"/>
          <w:highlight w:val="none"/>
          <w:lang w:val="zh-CN"/>
        </w:rPr>
        <w:t>竞争性磋商文件。</w:t>
      </w:r>
    </w:p>
    <w:p w14:paraId="59FC1D5C">
      <w:pPr>
        <w:autoSpaceDE w:val="0"/>
        <w:autoSpaceDN w:val="0"/>
        <w:adjustRightInd w:val="0"/>
        <w:spacing w:line="400" w:lineRule="atLeast"/>
        <w:ind w:firstLine="431" w:firstLineChars="196"/>
        <w:textAlignment w:val="bottom"/>
        <w:outlineLvl w:val="1"/>
        <w:rPr>
          <w:rFonts w:ascii="宋体"/>
          <w:color w:val="auto"/>
          <w:sz w:val="22"/>
          <w:highlight w:val="none"/>
        </w:rPr>
      </w:pPr>
      <w:r>
        <w:rPr>
          <w:rFonts w:ascii="宋体" w:hAnsi="宋体" w:cs="??_GB2312"/>
          <w:color w:val="auto"/>
          <w:sz w:val="22"/>
          <w:highlight w:val="none"/>
          <w:lang w:val="zh-CN"/>
        </w:rPr>
        <w:t>1.2</w:t>
      </w:r>
      <w:r>
        <w:rPr>
          <w:rFonts w:hint="eastAsia" w:ascii="宋体" w:hAnsi="宋体"/>
          <w:color w:val="auto"/>
          <w:sz w:val="22"/>
          <w:highlight w:val="none"/>
        </w:rPr>
        <w:t>竞争性磋商文件约束力</w:t>
      </w:r>
    </w:p>
    <w:p w14:paraId="507BB619">
      <w:pPr>
        <w:autoSpaceDE w:val="0"/>
        <w:autoSpaceDN w:val="0"/>
        <w:adjustRightInd w:val="0"/>
        <w:spacing w:line="400" w:lineRule="atLeast"/>
        <w:ind w:firstLine="442" w:firstLineChars="200"/>
        <w:rPr>
          <w:rFonts w:ascii="宋体" w:cs="??_GB2312"/>
          <w:b/>
          <w:color w:val="auto"/>
          <w:sz w:val="22"/>
          <w:highlight w:val="none"/>
          <w:u w:val="single"/>
          <w:lang w:val="zh-CN"/>
        </w:rPr>
      </w:pPr>
      <w:r>
        <w:rPr>
          <w:rFonts w:hint="eastAsia" w:ascii="宋体" w:hAnsi="宋体" w:cs="??_GB2312"/>
          <w:b/>
          <w:color w:val="auto"/>
          <w:sz w:val="22"/>
          <w:highlight w:val="none"/>
          <w:u w:val="single"/>
          <w:lang w:val="zh-CN"/>
        </w:rPr>
        <w:t>供应商</w:t>
      </w:r>
      <w:r>
        <w:rPr>
          <w:rFonts w:hint="eastAsia" w:ascii="宋体" w:hAnsi="宋体"/>
          <w:b/>
          <w:color w:val="auto"/>
          <w:sz w:val="22"/>
          <w:highlight w:val="none"/>
          <w:u w:val="single"/>
        </w:rPr>
        <w:t>一旦网上成功报名和下载了本项目竞争性磋商文件，在质疑期内未提出质疑，并参加投标，即被认为接受了本竞争性磋商文件中所有条款和规定。</w:t>
      </w:r>
    </w:p>
    <w:p w14:paraId="0BD239B4">
      <w:pPr>
        <w:autoSpaceDE w:val="0"/>
        <w:autoSpaceDN w:val="0"/>
        <w:adjustRightInd w:val="0"/>
        <w:spacing w:line="400" w:lineRule="atLeast"/>
        <w:ind w:firstLine="440" w:firstLineChars="200"/>
        <w:outlineLvl w:val="2"/>
        <w:rPr>
          <w:rFonts w:ascii="宋体" w:cs="??_GB2312"/>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、竞争性磋商文件的澄清</w:t>
      </w:r>
    </w:p>
    <w:p w14:paraId="23A9B85B">
      <w:pPr>
        <w:autoSpaceDE w:val="0"/>
        <w:autoSpaceDN w:val="0"/>
        <w:adjustRightInd w:val="0"/>
        <w:spacing w:line="400" w:lineRule="atLeast"/>
        <w:ind w:firstLine="440" w:firstLineChars="200"/>
        <w:rPr>
          <w:rFonts w:ascii="宋体" w:cs="??_GB2312"/>
          <w:color w:val="auto"/>
          <w:sz w:val="22"/>
          <w:highlight w:val="none"/>
          <w:lang w:val="zh-CN"/>
        </w:rPr>
      </w:pPr>
      <w:r>
        <w:rPr>
          <w:rFonts w:hint="eastAsia" w:ascii="宋体" w:hAnsi="宋体" w:cs="??_GB2312"/>
          <w:color w:val="auto"/>
          <w:sz w:val="22"/>
          <w:highlight w:val="none"/>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50F13CE4">
      <w:pPr>
        <w:autoSpaceDE w:val="0"/>
        <w:autoSpaceDN w:val="0"/>
        <w:adjustRightInd w:val="0"/>
        <w:spacing w:line="400" w:lineRule="atLeast"/>
        <w:ind w:firstLine="440" w:firstLineChars="200"/>
        <w:outlineLvl w:val="2"/>
        <w:rPr>
          <w:rFonts w:ascii="宋体" w:cs="??_GB2312"/>
          <w:color w:val="auto"/>
          <w:sz w:val="22"/>
          <w:highlight w:val="none"/>
          <w:lang w:val="zh-CN"/>
        </w:rPr>
      </w:pPr>
      <w:r>
        <w:rPr>
          <w:rFonts w:ascii="宋体" w:hAnsi="宋体" w:cs="??_GB2312"/>
          <w:color w:val="auto"/>
          <w:sz w:val="22"/>
          <w:highlight w:val="none"/>
          <w:lang w:val="zh-CN"/>
        </w:rPr>
        <w:t>3</w:t>
      </w:r>
      <w:r>
        <w:rPr>
          <w:rFonts w:hint="eastAsia" w:ascii="宋体" w:hAnsi="宋体" w:cs="??_GB2312"/>
          <w:color w:val="auto"/>
          <w:sz w:val="22"/>
          <w:highlight w:val="none"/>
          <w:lang w:val="zh-CN"/>
        </w:rPr>
        <w:t>、竞争性磋商文件的修改</w:t>
      </w:r>
    </w:p>
    <w:p w14:paraId="37B37EBC">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3.1</w:t>
      </w:r>
      <w:r>
        <w:rPr>
          <w:rFonts w:hint="eastAsia" w:ascii="宋体" w:hAnsi="宋体" w:cs="??_GB2312"/>
          <w:color w:val="auto"/>
          <w:sz w:val="22"/>
          <w:highlight w:val="none"/>
          <w:lang w:val="zh-CN"/>
        </w:rPr>
        <w:t>在投标截止时间前，采购单位或采购机构有权修改竞争性磋商文件，并以书面形式通知供应商。补充文件作为竞争性磋商文件的补充和组成部分，对所有供应商均有约束力。</w:t>
      </w:r>
    </w:p>
    <w:p w14:paraId="7A66FD0F">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3.2</w:t>
      </w:r>
      <w:r>
        <w:rPr>
          <w:rFonts w:hint="eastAsia" w:ascii="宋体" w:hAnsi="宋体" w:cs="??_GB2312"/>
          <w:color w:val="auto"/>
          <w:sz w:val="22"/>
          <w:highlight w:val="none"/>
          <w:lang w:val="zh-CN"/>
        </w:rPr>
        <w:t>为使供应商有足够的时间按竞争性磋商文件要求修正响应文件，采购单位按相关规定推迟投标截止时间和开标时间，并将此变更通知放至相关网站公示。</w:t>
      </w:r>
    </w:p>
    <w:p w14:paraId="4C0DA822">
      <w:pPr>
        <w:autoSpaceDE w:val="0"/>
        <w:autoSpaceDN w:val="0"/>
        <w:adjustRightInd w:val="0"/>
        <w:spacing w:line="400" w:lineRule="atLeast"/>
        <w:outlineLvl w:val="1"/>
        <w:rPr>
          <w:rFonts w:ascii="宋体" w:cs="??_GB2312"/>
          <w:b/>
          <w:color w:val="auto"/>
          <w:sz w:val="22"/>
          <w:highlight w:val="none"/>
          <w:lang w:val="zh-CN"/>
        </w:rPr>
      </w:pPr>
      <w:r>
        <w:rPr>
          <w:rFonts w:hint="eastAsia" w:ascii="宋体" w:hAnsi="宋体" w:cs="??_GB2312"/>
          <w:b/>
          <w:color w:val="auto"/>
          <w:sz w:val="22"/>
          <w:highlight w:val="none"/>
        </w:rPr>
        <w:t>三</w:t>
      </w:r>
      <w:r>
        <w:rPr>
          <w:rFonts w:hint="eastAsia" w:ascii="宋体" w:hAnsi="宋体" w:cs="??_GB2312"/>
          <w:b/>
          <w:color w:val="auto"/>
          <w:sz w:val="22"/>
          <w:highlight w:val="none"/>
          <w:lang w:val="zh-CN"/>
        </w:rPr>
        <w:t>、响应文件</w:t>
      </w:r>
    </w:p>
    <w:p w14:paraId="4710B645">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1</w:t>
      </w:r>
      <w:r>
        <w:rPr>
          <w:rFonts w:hint="eastAsia" w:ascii="宋体" w:hAnsi="宋体" w:cs="??_GB2312"/>
          <w:color w:val="auto"/>
          <w:sz w:val="22"/>
          <w:highlight w:val="none"/>
          <w:lang w:val="zh-CN"/>
        </w:rPr>
        <w:t>、响应文件</w:t>
      </w:r>
    </w:p>
    <w:p w14:paraId="10DE2FC0">
      <w:pPr>
        <w:autoSpaceDE w:val="0"/>
        <w:autoSpaceDN w:val="0"/>
        <w:adjustRightInd w:val="0"/>
        <w:snapToGrid w:val="0"/>
        <w:spacing w:line="400" w:lineRule="atLeast"/>
        <w:ind w:firstLine="480"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供应商提交的投标文件以及供应商与采购单位就有关投标的所有来往函电均应使用中文。供应商可以提交用其它语言印制的资料，但必须译成中文，在有差异和矛盾时以中文为准。</w:t>
      </w:r>
    </w:p>
    <w:p w14:paraId="1E82E413">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75B3DB3C">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71388C0A">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E0E5514">
      <w:pPr>
        <w:autoSpaceDE w:val="0"/>
        <w:autoSpaceDN w:val="0"/>
        <w:adjustRightInd w:val="0"/>
        <w:snapToGrid w:val="0"/>
        <w:spacing w:line="400" w:lineRule="atLeast"/>
        <w:ind w:firstLine="440"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2925E493">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、响应文件的组成</w:t>
      </w:r>
    </w:p>
    <w:p w14:paraId="365FC078">
      <w:pPr>
        <w:autoSpaceDE w:val="0"/>
        <w:autoSpaceDN w:val="0"/>
        <w:adjustRightInd w:val="0"/>
        <w:snapToGrid w:val="0"/>
        <w:spacing w:line="400" w:lineRule="atLeast"/>
        <w:ind w:firstLine="442" w:firstLineChars="200"/>
        <w:rPr>
          <w:rFonts w:ascii="宋体"/>
          <w:b/>
          <w:bCs/>
          <w:color w:val="auto"/>
          <w:sz w:val="22"/>
          <w:highlight w:val="none"/>
          <w:u w:val="single"/>
          <w:lang w:val="zh-CN"/>
        </w:rPr>
      </w:pPr>
      <w:bookmarkStart w:id="7" w:name="_Toc493530208"/>
      <w:bookmarkStart w:id="8" w:name="_Toc132123441"/>
      <w:bookmarkStart w:id="9" w:name="_Toc132125039"/>
      <w:bookmarkStart w:id="10" w:name="_Toc132125576"/>
      <w:bookmarkStart w:id="11" w:name="_Toc132123636"/>
      <w:bookmarkStart w:id="12" w:name="_Toc132123883"/>
      <w:bookmarkStart w:id="13" w:name="_Toc132122121"/>
      <w:bookmarkStart w:id="14" w:name="_Toc132655778"/>
      <w:bookmarkStart w:id="15" w:name="_Toc132125097"/>
      <w:bookmarkStart w:id="16" w:name="_Toc132124596"/>
      <w:bookmarkStart w:id="17" w:name="_Toc132125985"/>
      <w:bookmarkStart w:id="18" w:name="_Toc132123840"/>
      <w:bookmarkStart w:id="19" w:name="_Toc132126156"/>
      <w:bookmarkStart w:id="20" w:name="_Toc132122418"/>
      <w:bookmarkStart w:id="21" w:name="_Toc132125153"/>
      <w:bookmarkStart w:id="22" w:name="_Toc132123549"/>
      <w:r>
        <w:rPr>
          <w:rFonts w:hint="eastAsia" w:ascii="宋体" w:hAnsi="宋体" w:cs="Arial"/>
          <w:b/>
          <w:color w:val="auto"/>
          <w:sz w:val="22"/>
          <w:highlight w:val="none"/>
          <w:u w:val="single"/>
        </w:rPr>
        <w:t>▲</w:t>
      </w: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0577F215">
      <w:pPr>
        <w:autoSpaceDE w:val="0"/>
        <w:autoSpaceDN w:val="0"/>
        <w:adjustRightInd w:val="0"/>
        <w:snapToGrid w:val="0"/>
        <w:spacing w:line="400" w:lineRule="atLeast"/>
        <w:ind w:firstLine="440" w:firstLineChars="200"/>
        <w:outlineLvl w:val="2"/>
        <w:rPr>
          <w:rFonts w:ascii="宋体" w:hAnsi="宋体" w:eastAsia="宋体" w:cs="宋体"/>
          <w:b/>
          <w:bCs/>
          <w:color w:val="auto"/>
          <w:sz w:val="22"/>
          <w:szCs w:val="22"/>
          <w:highlight w:val="none"/>
          <w:lang w:val="zh-CN"/>
        </w:rPr>
      </w:pPr>
      <w:bookmarkStart w:id="23" w:name="_Hlk519085152"/>
      <w:r>
        <w:rPr>
          <w:rFonts w:hint="eastAsia" w:ascii="宋体" w:hAnsi="宋体" w:eastAsia="宋体" w:cs="宋体"/>
          <w:color w:val="auto"/>
          <w:sz w:val="22"/>
          <w:szCs w:val="22"/>
          <w:highlight w:val="none"/>
          <w:lang w:val="zh-CN"/>
        </w:rPr>
        <w:t>2.1</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77FF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83539F">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386" w:type="dxa"/>
          </w:tcPr>
          <w:p w14:paraId="1587F0E7">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内容（</w:t>
            </w:r>
            <w:r>
              <w:rPr>
                <w:rFonts w:hint="eastAsia" w:ascii="宋体" w:hAnsi="宋体" w:eastAsia="宋体" w:cs="宋体"/>
                <w:b/>
                <w:bCs/>
                <w:color w:val="auto"/>
                <w:sz w:val="22"/>
                <w:szCs w:val="22"/>
                <w:highlight w:val="none"/>
                <w:u w:val="single"/>
              </w:rPr>
              <w:t>▲序号1-2项供应商必须提供，否则不能通过符合性审查的，责任自负</w:t>
            </w:r>
            <w:r>
              <w:rPr>
                <w:rFonts w:hint="eastAsia" w:ascii="宋体" w:hAnsi="宋体" w:eastAsia="宋体" w:cs="宋体"/>
                <w:color w:val="auto"/>
                <w:sz w:val="22"/>
                <w:szCs w:val="22"/>
                <w:highlight w:val="none"/>
              </w:rPr>
              <w:t>）</w:t>
            </w:r>
          </w:p>
        </w:tc>
      </w:tr>
      <w:tr w14:paraId="6096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722CE1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86" w:type="dxa"/>
          </w:tcPr>
          <w:p w14:paraId="33A67A1C">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投标报价一览表（见附件一（一））</w:t>
            </w:r>
          </w:p>
        </w:tc>
      </w:tr>
      <w:tr w14:paraId="12A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40528EC">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386" w:type="dxa"/>
          </w:tcPr>
          <w:p w14:paraId="788FEC03">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投标分项报价表（见附件一（二））</w:t>
            </w:r>
          </w:p>
        </w:tc>
      </w:tr>
    </w:tbl>
    <w:p w14:paraId="4FDE0C70">
      <w:pPr>
        <w:autoSpaceDE w:val="0"/>
        <w:autoSpaceDN w:val="0"/>
        <w:adjustRightInd w:val="0"/>
        <w:snapToGrid w:val="0"/>
        <w:spacing w:line="400" w:lineRule="atLeast"/>
        <w:ind w:firstLine="440" w:firstLineChars="200"/>
        <w:textAlignment w:val="bottom"/>
        <w:outlineLvl w:val="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《资格文件》组成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28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48E009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386" w:type="dxa"/>
            <w:tcBorders>
              <w:top w:val="single" w:color="auto" w:sz="4" w:space="0"/>
              <w:left w:val="nil"/>
              <w:bottom w:val="single" w:color="auto" w:sz="4" w:space="0"/>
              <w:right w:val="single" w:color="auto" w:sz="4" w:space="0"/>
            </w:tcBorders>
          </w:tcPr>
          <w:p w14:paraId="7A79B49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r>
      <w:tr w14:paraId="0126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531B1E4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资信部分</w:t>
            </w:r>
            <w:r>
              <w:rPr>
                <w:rFonts w:hint="eastAsia" w:ascii="宋体" w:hAnsi="宋体" w:eastAsia="宋体" w:cs="宋体"/>
                <w:b/>
                <w:bCs/>
                <w:color w:val="auto"/>
                <w:sz w:val="22"/>
                <w:szCs w:val="22"/>
                <w:highlight w:val="none"/>
                <w:u w:val="single"/>
              </w:rPr>
              <w:t>（▲序号1-9项供应商必须提供，否则不能通过资格审查的，责任自负）</w:t>
            </w:r>
          </w:p>
        </w:tc>
      </w:tr>
      <w:tr w14:paraId="41CD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4147724">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17B7632">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供应商特定资格条件证明（如有）</w:t>
            </w:r>
          </w:p>
        </w:tc>
      </w:tr>
      <w:tr w14:paraId="3CBD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4238827">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626252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color w:val="auto"/>
                <w:sz w:val="22"/>
                <w:highlight w:val="none"/>
              </w:rPr>
              <w:t>落实政府采购政策需满足的资格要求</w:t>
            </w:r>
            <w:r>
              <w:rPr>
                <w:rFonts w:hint="eastAsia" w:ascii="宋体" w:hAnsi="宋体" w:eastAsia="宋体" w:cs="宋体"/>
                <w:color w:val="auto"/>
                <w:sz w:val="22"/>
                <w:szCs w:val="22"/>
                <w:highlight w:val="none"/>
              </w:rPr>
              <w:t>（《中小企业声明函》）（见附件二）</w:t>
            </w:r>
          </w:p>
        </w:tc>
      </w:tr>
      <w:tr w14:paraId="4AB4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36DF9DB">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563FCDC">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1924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tcPr>
          <w:p w14:paraId="0124FF67">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914029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供应商健全的财务会计制度，承诺函自拟、依法缴纳税收的证明材料、依法缴纳社保的证明材料</w:t>
            </w:r>
          </w:p>
        </w:tc>
      </w:tr>
      <w:tr w14:paraId="420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6358B94">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60F793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具有履行合同所必需的设备和专业技术能力的承诺函（见附件三）</w:t>
            </w:r>
          </w:p>
        </w:tc>
      </w:tr>
      <w:tr w14:paraId="4015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FCAA12B">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B30776E">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依法缴纳税收和社会保障资金的承诺函（见附件四）</w:t>
            </w:r>
          </w:p>
        </w:tc>
      </w:tr>
      <w:tr w14:paraId="2ED4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5DDB5F2">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0A2D10B5">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参加政府采购活动前3年内在经营活动中没有重大违法记录的声明函（见附件五）</w:t>
            </w:r>
          </w:p>
        </w:tc>
      </w:tr>
      <w:tr w14:paraId="1E12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A57AD87">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75EEFC18">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供应商“信用中国”(www.creditchina.gov.cn)；“中国政府采购网”（http://www.ccgp.gov.cn/）信用记录网页截图（招标公告发布之日至投标截止时间前均可）</w:t>
            </w:r>
          </w:p>
        </w:tc>
      </w:tr>
      <w:tr w14:paraId="7BC7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1B91B4C2">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9311AB6">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法定代表人身份证明书（见附件六（一））或法定代表人授权书（见附件六（二））</w:t>
            </w:r>
          </w:p>
        </w:tc>
      </w:tr>
    </w:tbl>
    <w:p w14:paraId="4A729C63">
      <w:pPr>
        <w:autoSpaceDE w:val="0"/>
        <w:autoSpaceDN w:val="0"/>
        <w:adjustRightInd w:val="0"/>
        <w:snapToGrid w:val="0"/>
        <w:spacing w:line="400" w:lineRule="atLeast"/>
        <w:ind w:firstLine="440" w:firstLineChars="200"/>
        <w:textAlignment w:val="bottom"/>
        <w:outlineLvl w:val="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b/>
          <w:bCs/>
          <w:color w:val="auto"/>
          <w:sz w:val="22"/>
          <w:szCs w:val="22"/>
          <w:highlight w:val="none"/>
        </w:rPr>
        <w:t>《商务技术文件》组成</w:t>
      </w:r>
    </w:p>
    <w:bookmarkEnd w:id="23"/>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60E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32D05CC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r>
              <w:rPr>
                <w:rFonts w:hint="eastAsia" w:ascii="宋体" w:hAnsi="宋体" w:eastAsia="宋体" w:cs="宋体"/>
                <w:b/>
                <w:bCs/>
                <w:color w:val="auto"/>
                <w:sz w:val="22"/>
                <w:szCs w:val="22"/>
                <w:highlight w:val="none"/>
                <w:u w:val="single"/>
              </w:rPr>
              <w:t>（▲序号1-4项供应商必须提供，否则不能通过符合性审查的，责任自负）</w:t>
            </w:r>
          </w:p>
        </w:tc>
      </w:tr>
      <w:tr w14:paraId="5986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DB25718">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1B1D73C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投标函（见附件七）</w:t>
            </w:r>
          </w:p>
        </w:tc>
      </w:tr>
      <w:tr w14:paraId="4415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CF2A706">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EF6AED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供应商参与政府采购活动投标资格声明（见附件八）</w:t>
            </w:r>
          </w:p>
        </w:tc>
      </w:tr>
      <w:tr w14:paraId="0B68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BCA8939">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5D4241F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法定代表人诚信投标承诺书（见附件九）</w:t>
            </w:r>
          </w:p>
        </w:tc>
      </w:tr>
      <w:tr w14:paraId="0FC3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ADAADB0">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2CA86C1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商务偏离表（见附件十（一））、技术偏离表（见附件十（二））（如有偏离须明确列出，如不存在偏离则填写无）</w:t>
            </w:r>
          </w:p>
        </w:tc>
      </w:tr>
      <w:tr w14:paraId="504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9865905">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0DDE197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距离采购单位最近的服务机构的详细介绍（如负责人，电话，地址，技术力量配备等）</w:t>
            </w:r>
          </w:p>
        </w:tc>
      </w:tr>
      <w:tr w14:paraId="2021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5231017">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68740706">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根据招标文件中的采购内容与技术要求、评标细则，需要提供的其它文件和资料。</w:t>
            </w:r>
          </w:p>
        </w:tc>
      </w:tr>
      <w:tr w14:paraId="04A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9B54734">
            <w:pPr>
              <w:numPr>
                <w:ilvl w:val="0"/>
                <w:numId w:val="10"/>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7E12CDD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65DA7E6D">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w:t>
      </w:r>
      <w:r>
        <w:rPr>
          <w:rFonts w:hint="eastAsia" w:ascii="宋体" w:hAnsi="宋体" w:cs="Arial"/>
          <w:color w:val="auto"/>
          <w:sz w:val="22"/>
          <w:highlight w:val="none"/>
        </w:rPr>
        <w:t>、投标内容填写说明</w:t>
      </w:r>
    </w:p>
    <w:p w14:paraId="1D50E4C8">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3.1</w:t>
      </w:r>
      <w:r>
        <w:rPr>
          <w:rFonts w:hint="eastAsia" w:ascii="宋体" w:hAnsi="宋体" w:cs="Arial"/>
          <w:color w:val="auto"/>
          <w:sz w:val="22"/>
          <w:highlight w:val="none"/>
        </w:rPr>
        <w:t>响应文件格式</w:t>
      </w:r>
    </w:p>
    <w:p w14:paraId="42BA8A05">
      <w:pPr>
        <w:autoSpaceDE w:val="0"/>
        <w:autoSpaceDN w:val="0"/>
        <w:adjustRightInd w:val="0"/>
        <w:spacing w:line="400" w:lineRule="exact"/>
        <w:ind w:firstLine="440" w:firstLineChars="200"/>
        <w:textAlignment w:val="bottom"/>
        <w:rPr>
          <w:rFonts w:ascii="宋体" w:cs="Arial"/>
          <w:color w:val="auto"/>
          <w:sz w:val="22"/>
          <w:highlight w:val="none"/>
        </w:rPr>
      </w:pPr>
      <w:r>
        <w:rPr>
          <w:rFonts w:hint="eastAsia" w:ascii="宋体" w:hAnsi="宋体" w:cs="Arial"/>
          <w:color w:val="auto"/>
          <w:sz w:val="22"/>
          <w:highlight w:val="none"/>
        </w:rPr>
        <w:t>供应商应按照第</w:t>
      </w:r>
      <w:r>
        <w:rPr>
          <w:rFonts w:ascii="宋体" w:hAnsi="宋体" w:cs="Arial"/>
          <w:color w:val="auto"/>
          <w:sz w:val="22"/>
          <w:highlight w:val="none"/>
        </w:rPr>
        <w:t>2</w:t>
      </w:r>
      <w:r>
        <w:rPr>
          <w:rFonts w:hint="eastAsia" w:ascii="宋体" w:hAnsi="宋体" w:cs="Arial"/>
          <w:color w:val="auto"/>
          <w:sz w:val="22"/>
          <w:highlight w:val="none"/>
        </w:rPr>
        <w:t>条所列出的内容及格式逐一按顺序组成响应文件</w:t>
      </w:r>
    </w:p>
    <w:p w14:paraId="125C4E58">
      <w:pPr>
        <w:autoSpaceDE w:val="0"/>
        <w:autoSpaceDN w:val="0"/>
        <w:adjustRightInd w:val="0"/>
        <w:snapToGrid w:val="0"/>
        <w:spacing w:line="400" w:lineRule="exact"/>
        <w:textAlignment w:val="bottom"/>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、投标报价</w:t>
      </w:r>
    </w:p>
    <w:p w14:paraId="5C1A8AC9">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4.1</w:t>
      </w:r>
      <w:r>
        <w:rPr>
          <w:rFonts w:hint="eastAsia" w:ascii="宋体" w:hAnsi="宋体"/>
          <w:color w:val="auto"/>
          <w:sz w:val="22"/>
          <w:highlight w:val="none"/>
        </w:rPr>
        <w:t>供应商应按竞争性磋商文件中《投标报价一览表》填写报价总价。</w:t>
      </w:r>
    </w:p>
    <w:p w14:paraId="038A65C9">
      <w:pPr>
        <w:autoSpaceDE w:val="0"/>
        <w:autoSpaceDN w:val="0"/>
        <w:adjustRightInd w:val="0"/>
        <w:snapToGrid w:val="0"/>
        <w:spacing w:line="400" w:lineRule="atLeast"/>
        <w:ind w:firstLine="450"/>
        <w:textAlignment w:val="bottom"/>
        <w:rPr>
          <w:rFonts w:ascii="宋体" w:cs="Arial"/>
          <w:color w:val="auto"/>
          <w:sz w:val="22"/>
          <w:highlight w:val="none"/>
          <w:u w:val="single"/>
        </w:rPr>
      </w:pPr>
      <w:r>
        <w:rPr>
          <w:rFonts w:ascii="宋体" w:hAnsi="宋体"/>
          <w:color w:val="auto"/>
          <w:sz w:val="22"/>
          <w:highlight w:val="none"/>
        </w:rPr>
        <w:t>4.2</w:t>
      </w:r>
      <w:r>
        <w:rPr>
          <w:rFonts w:hint="eastAsia" w:ascii="宋体" w:cs="Arial"/>
          <w:color w:val="auto"/>
          <w:sz w:val="22"/>
          <w:szCs w:val="22"/>
          <w:highlight w:val="none"/>
        </w:rPr>
        <w:t>本次招标只允许有一个报价，有选择的报价将不予接受。</w:t>
      </w:r>
      <w:r>
        <w:rPr>
          <w:rFonts w:hint="eastAsia" w:ascii="宋体" w:hAnsi="宋体"/>
          <w:color w:val="auto"/>
          <w:sz w:val="22"/>
          <w:highlight w:val="none"/>
        </w:rPr>
        <w:t>报价为合同约定的全部费用。供应商应在各自技术和商务占优势的基础上并充分考虑本项目的重要性，提供对采购单位最优惠的报价。</w:t>
      </w:r>
    </w:p>
    <w:p w14:paraId="08EDFC45">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5</w:t>
      </w:r>
      <w:r>
        <w:rPr>
          <w:rFonts w:hint="eastAsia" w:ascii="宋体" w:hAnsi="宋体"/>
          <w:color w:val="auto"/>
          <w:sz w:val="22"/>
          <w:highlight w:val="none"/>
        </w:rPr>
        <w:t>、采购单位要求分类报价是为了方便评标，但在任何情况下不限制采购单位以其认为最合适的条款签订合同的权利。</w:t>
      </w:r>
    </w:p>
    <w:p w14:paraId="31C03B62">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6、响应文件的有效期</w:t>
      </w:r>
    </w:p>
    <w:p w14:paraId="2C80FBA0">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.1</w:t>
      </w:r>
      <w:r>
        <w:rPr>
          <w:rFonts w:hint="eastAsia" w:ascii="宋体" w:hAnsi="宋体"/>
          <w:color w:val="auto"/>
          <w:sz w:val="22"/>
          <w:highlight w:val="none"/>
        </w:rPr>
        <w:t>自报价截止时间起</w:t>
      </w:r>
      <w:r>
        <w:rPr>
          <w:rFonts w:ascii="宋体" w:hAnsi="宋体"/>
          <w:color w:val="auto"/>
          <w:sz w:val="22"/>
          <w:highlight w:val="none"/>
        </w:rPr>
        <w:t>90</w:t>
      </w:r>
      <w:r>
        <w:rPr>
          <w:rFonts w:hint="eastAsia" w:ascii="宋体" w:hAnsi="宋体"/>
          <w:color w:val="auto"/>
          <w:sz w:val="22"/>
          <w:highlight w:val="none"/>
        </w:rPr>
        <w:t>天内，响应文件应保持有效。有效期短于这个规定期限的报价将被拒绝。</w:t>
      </w:r>
    </w:p>
    <w:p w14:paraId="66A4A23C">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.2</w:t>
      </w:r>
      <w:r>
        <w:rPr>
          <w:rFonts w:hint="eastAsia" w:ascii="宋体" w:hAnsi="宋体"/>
          <w:color w:val="auto"/>
          <w:sz w:val="22"/>
          <w:highlight w:val="none"/>
        </w:rPr>
        <w:t>在特殊情况下，采购单位可与供应商协商延长响应文件的有效期，这种要求和答复均应以书面形式进行。</w:t>
      </w:r>
    </w:p>
    <w:p w14:paraId="4CC9F241">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.3</w:t>
      </w:r>
      <w:r>
        <w:rPr>
          <w:rFonts w:hint="eastAsia" w:ascii="宋体" w:hAnsi="宋体"/>
          <w:color w:val="auto"/>
          <w:sz w:val="22"/>
          <w:highlight w:val="none"/>
        </w:rPr>
        <w:t>供应商可拒绝接受延期要求。同意延长有效期的供应商不能修改响应文件。</w:t>
      </w:r>
    </w:p>
    <w:p w14:paraId="5A3A445D">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7、响应文件的签署和份数</w:t>
      </w:r>
    </w:p>
    <w:p w14:paraId="47B42885">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响应文件须由供应商盖章并由法定代表人或法定代表人授权代表签署，供应商应写全称。</w:t>
      </w:r>
    </w:p>
    <w:p w14:paraId="67FB1139">
      <w:pPr>
        <w:autoSpaceDE w:val="0"/>
        <w:autoSpaceDN w:val="0"/>
        <w:adjustRightInd w:val="0"/>
        <w:spacing w:line="400" w:lineRule="exact"/>
        <w:ind w:firstLine="440" w:firstLineChars="200"/>
        <w:textAlignment w:val="bottom"/>
        <w:rPr>
          <w:rFonts w:hAnsi="宋体"/>
          <w:b/>
          <w:bCs/>
          <w:color w:val="auto"/>
          <w:sz w:val="22"/>
          <w:highlight w:val="none"/>
          <w:u w:val="single"/>
        </w:rPr>
      </w:pPr>
      <w:r>
        <w:rPr>
          <w:rFonts w:hint="eastAsia" w:hAnsi="宋体"/>
          <w:color w:val="auto"/>
          <w:sz w:val="22"/>
          <w:highlight w:val="none"/>
        </w:rPr>
        <w:t>7.1响应文件的份数：“电子加密投标文件”：在线上传递交。</w:t>
      </w:r>
    </w:p>
    <w:p w14:paraId="62D02565">
      <w:pPr>
        <w:autoSpaceDE w:val="0"/>
        <w:autoSpaceDN w:val="0"/>
        <w:adjustRightInd w:val="0"/>
        <w:spacing w:line="400" w:lineRule="exact"/>
        <w:ind w:firstLine="442" w:firstLineChars="200"/>
        <w:textAlignment w:val="bottom"/>
        <w:outlineLvl w:val="1"/>
        <w:rPr>
          <w:rFonts w:hAnsi="宋体"/>
          <w:b/>
          <w:bCs/>
          <w:color w:val="auto"/>
          <w:sz w:val="22"/>
          <w:highlight w:val="none"/>
        </w:rPr>
      </w:pPr>
      <w:bookmarkStart w:id="24" w:name="_Toc493530206"/>
      <w:r>
        <w:rPr>
          <w:rFonts w:hint="eastAsia" w:hAnsi="宋体"/>
          <w:b/>
          <w:bCs/>
          <w:color w:val="auto"/>
          <w:sz w:val="22"/>
          <w:highlight w:val="none"/>
        </w:rPr>
        <w:t>四、响应文件的密封与递交</w:t>
      </w:r>
      <w:bookmarkEnd w:id="24"/>
    </w:p>
    <w:p w14:paraId="6267093F">
      <w:pPr>
        <w:pStyle w:val="75"/>
        <w:adjustRightInd w:val="0"/>
        <w:snapToGrid w:val="0"/>
        <w:spacing w:line="400" w:lineRule="atLeast"/>
        <w:outlineLvl w:val="0"/>
        <w:rPr>
          <w:rFonts w:hAnsi="宋体" w:cs="Arial"/>
          <w:b/>
          <w:bCs/>
          <w:color w:val="auto"/>
          <w:sz w:val="22"/>
          <w:szCs w:val="22"/>
          <w:highlight w:val="none"/>
        </w:rPr>
      </w:pPr>
      <w:bookmarkStart w:id="25" w:name="_Toc132123635"/>
      <w:bookmarkStart w:id="26" w:name="_Toc132125038"/>
      <w:bookmarkStart w:id="27" w:name="_Toc132124595"/>
      <w:bookmarkStart w:id="28" w:name="_Toc132125096"/>
      <w:bookmarkStart w:id="29" w:name="_Toc132123548"/>
      <w:bookmarkStart w:id="30" w:name="_Toc132123882"/>
      <w:bookmarkStart w:id="31" w:name="_Toc132125575"/>
      <w:bookmarkStart w:id="32" w:name="_Toc132126155"/>
      <w:bookmarkStart w:id="33" w:name="_Toc132123839"/>
      <w:bookmarkStart w:id="34" w:name="_Toc132655777"/>
      <w:bookmarkStart w:id="35" w:name="_Toc132122417"/>
      <w:bookmarkStart w:id="36" w:name="_Toc132123440"/>
      <w:bookmarkStart w:id="37" w:name="_Toc132122120"/>
      <w:bookmarkStart w:id="38" w:name="_Toc493530207"/>
      <w:bookmarkStart w:id="39" w:name="_Toc132125152"/>
      <w:bookmarkStart w:id="40" w:name="_Toc132125984"/>
      <w:r>
        <w:rPr>
          <w:rFonts w:hint="eastAsia" w:hAnsi="宋体" w:cs="Arial"/>
          <w:b/>
          <w:bCs/>
          <w:color w:val="auto"/>
          <w:sz w:val="22"/>
          <w:szCs w:val="22"/>
          <w:highlight w:val="none"/>
        </w:rPr>
        <w:t>投标文件的递交</w:t>
      </w:r>
    </w:p>
    <w:p w14:paraId="0BE86BB6">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1、投标文件的上传、递交：见《前附表》。</w:t>
      </w:r>
    </w:p>
    <w:p w14:paraId="44CC6E7B">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2、“电子加密投标文件”解密和异常情况处理：见《前附表》。</w:t>
      </w:r>
    </w:p>
    <w:p w14:paraId="44F0356A">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3BC25809">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068F94B">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1415610E">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4、投标文件的备选方案</w:t>
      </w:r>
    </w:p>
    <w:p w14:paraId="28FE60F8">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0394BD96">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5、投标截止期</w:t>
      </w:r>
    </w:p>
    <w:p w14:paraId="0FD22114">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5.1供应商应按前附表中规定的时间、地点将投标文件递交给采购单位，采购单位将拒绝接受逾期送达的投标文件。</w:t>
      </w:r>
    </w:p>
    <w:p w14:paraId="05F2B74C">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5.2采购单位可以按本须知规定以补充通知的方式，酌情延长递交投标文件的截止日期。在上述情况下，采购单位与供应商以前在投标截止期方面的全部权利、责任和义务，将适用于延长至新的投标截止期。</w:t>
      </w:r>
    </w:p>
    <w:p w14:paraId="55816081">
      <w:pPr>
        <w:pStyle w:val="17"/>
        <w:adjustRightInd w:val="0"/>
        <w:snapToGrid w:val="0"/>
        <w:spacing w:line="400" w:lineRule="exact"/>
        <w:outlineLvl w:val="0"/>
        <w:rPr>
          <w:rFonts w:hAnsi="宋体"/>
          <w:b/>
          <w:color w:val="auto"/>
          <w:sz w:val="22"/>
          <w:highlight w:val="none"/>
        </w:rPr>
      </w:pPr>
      <w:r>
        <w:rPr>
          <w:rFonts w:hint="eastAsia" w:hAnsi="宋体"/>
          <w:b/>
          <w:color w:val="auto"/>
          <w:sz w:val="22"/>
          <w:highlight w:val="none"/>
        </w:rPr>
        <w:t>五、开标和评标</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E1FAB54">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1、开标</w:t>
      </w:r>
    </w:p>
    <w:p w14:paraId="69B37FE5">
      <w:pPr>
        <w:pStyle w:val="75"/>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（一）开标形式</w:t>
      </w:r>
    </w:p>
    <w:p w14:paraId="3D17A7B8">
      <w:pPr>
        <w:snapToGrid w:val="0"/>
        <w:spacing w:line="440" w:lineRule="exact"/>
        <w:ind w:firstLine="440" w:firstLineChars="200"/>
        <w:jc w:val="left"/>
        <w:rPr>
          <w:rFonts w:ascii="宋体" w:hAnsi="宋体" w:cs="Arial"/>
          <w:b/>
          <w:color w:val="auto"/>
          <w:kern w:val="0"/>
          <w:sz w:val="22"/>
          <w:highlight w:val="none"/>
        </w:rPr>
      </w:pPr>
      <w:r>
        <w:rPr>
          <w:rFonts w:hint="eastAsia" w:ascii="宋体" w:hAnsi="宋体"/>
          <w:color w:val="auto"/>
          <w:sz w:val="22"/>
          <w:szCs w:val="22"/>
          <w:highlight w:val="none"/>
        </w:rPr>
        <w:t>1.1采</w:t>
      </w:r>
      <w:r>
        <w:rPr>
          <w:rFonts w:hint="eastAsia" w:hAnsi="宋体"/>
          <w:color w:val="auto"/>
          <w:sz w:val="22"/>
          <w:szCs w:val="22"/>
          <w:highlight w:val="none"/>
        </w:rPr>
        <w:t>购组织机构将按照采购文件规定的时间通过“政府采购云平台”组织开标、开启投标文件、磋商，所有供应商均应当准时在线参加。</w:t>
      </w:r>
    </w:p>
    <w:p w14:paraId="0263442C">
      <w:pPr>
        <w:pStyle w:val="75"/>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（二）开标准备</w:t>
      </w:r>
    </w:p>
    <w:p w14:paraId="0F43823A">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3781B43">
      <w:pPr>
        <w:widowControl/>
        <w:snapToGrid w:val="0"/>
        <w:spacing w:line="420" w:lineRule="exact"/>
        <w:ind w:firstLine="440" w:firstLineChars="200"/>
        <w:jc w:val="left"/>
        <w:rPr>
          <w:color w:val="auto"/>
          <w:sz w:val="22"/>
          <w:highlight w:val="none"/>
        </w:rPr>
      </w:pPr>
      <w:r>
        <w:rPr>
          <w:rFonts w:hint="eastAsia" w:ascii="宋体" w:hAnsi="宋体"/>
          <w:color w:val="auto"/>
          <w:sz w:val="22"/>
          <w:szCs w:val="22"/>
          <w:highlight w:val="none"/>
        </w:rPr>
        <w:t>2.2</w:t>
      </w:r>
      <w:r>
        <w:rPr>
          <w:rFonts w:hint="eastAsia" w:hAnsi="宋体"/>
          <w:color w:val="auto"/>
          <w:sz w:val="22"/>
          <w:szCs w:val="22"/>
          <w:highlight w:val="none"/>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color w:val="auto"/>
          <w:sz w:val="22"/>
          <w:highlight w:val="none"/>
        </w:rPr>
        <w:t>如有需要，采购代理机构将邀请各磋商供应商代表现场出席磋商会议。磋商会议现场谢绝无关人员进入。</w:t>
      </w:r>
    </w:p>
    <w:p w14:paraId="54A6781C">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2.3所有二次报价询标流程，均在线上完成，请各供应商务必不要离开电脑太久，并留意手机短信。（请提前检查“政采云”内，关于‘项目采购’的岗位权限是否已勾选上。如有问题，请致电400-881-7190）</w:t>
      </w:r>
    </w:p>
    <w:p w14:paraId="2A4005EB">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（三）电子招投标开标及评审程序</w:t>
      </w:r>
    </w:p>
    <w:p w14:paraId="4C1E9AE8">
      <w:pPr>
        <w:spacing w:line="440" w:lineRule="exact"/>
        <w:ind w:firstLine="440" w:firstLineChars="200"/>
        <w:rPr>
          <w:rFonts w:ascii="宋体" w:hAnsi="宋体" w:cs="宋体"/>
          <w:color w:val="auto"/>
          <w:sz w:val="22"/>
          <w:highlight w:val="none"/>
        </w:rPr>
      </w:pPr>
      <w:r>
        <w:rPr>
          <w:rFonts w:hint="eastAsia" w:ascii="宋体" w:hAnsi="宋体"/>
          <w:bCs/>
          <w:color w:val="auto"/>
          <w:sz w:val="22"/>
          <w:highlight w:val="none"/>
        </w:rPr>
        <w:t>3.1磋商会由采购代理机构主持，磋商响应截止时间后，供应商登录政采云平台，用“项目采购-开标评标”功能对电子响应文件进行在线解密，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31567D6A">
      <w:pPr>
        <w:spacing w:line="440" w:lineRule="exact"/>
        <w:ind w:firstLine="440" w:firstLineChars="200"/>
        <w:jc w:val="left"/>
        <w:rPr>
          <w:rFonts w:ascii="宋体" w:hAnsi="宋体"/>
          <w:bCs/>
          <w:color w:val="auto"/>
          <w:sz w:val="22"/>
          <w:highlight w:val="none"/>
        </w:rPr>
      </w:pPr>
      <w:r>
        <w:rPr>
          <w:rFonts w:hint="eastAsia" w:ascii="宋体" w:hAnsi="宋体" w:cs="Arial"/>
          <w:color w:val="auto"/>
          <w:kern w:val="0"/>
          <w:sz w:val="22"/>
          <w:highlight w:val="none"/>
        </w:rPr>
        <w:t>3.2投标文件解密结束，</w:t>
      </w:r>
      <w:r>
        <w:rPr>
          <w:rFonts w:hint="eastAsia" w:ascii="宋体" w:hAnsi="宋体"/>
          <w:bCs/>
          <w:color w:val="auto"/>
          <w:sz w:val="22"/>
          <w:highlight w:val="none"/>
        </w:rPr>
        <w:t>开启响应文件，磋商小组对资格和商务技术响应文件进行评审；</w:t>
      </w:r>
    </w:p>
    <w:p w14:paraId="0D98890E">
      <w:pPr>
        <w:spacing w:line="440" w:lineRule="exact"/>
        <w:ind w:firstLine="440" w:firstLineChars="200"/>
        <w:rPr>
          <w:rFonts w:ascii="宋体" w:hAnsi="宋体"/>
          <w:bCs/>
          <w:color w:val="auto"/>
          <w:sz w:val="22"/>
          <w:highlight w:val="none"/>
        </w:rPr>
      </w:pPr>
      <w:r>
        <w:rPr>
          <w:rFonts w:hint="eastAsia" w:ascii="宋体" w:hAnsi="宋体"/>
          <w:bCs/>
          <w:color w:val="auto"/>
          <w:sz w:val="22"/>
          <w:highlight w:val="none"/>
        </w:rPr>
        <w:t>3.3供应商按签到的前后顺序决定磋商的顺序，就价格、服务等认为需要磋商的内容进行磋商，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bCs/>
          <w:color w:val="auto"/>
          <w:sz w:val="22"/>
          <w:highlight w:val="none"/>
        </w:rPr>
        <w:t>响应人作出最终承诺和最终报价。</w:t>
      </w:r>
    </w:p>
    <w:p w14:paraId="66653AC7">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3.4在系统上公开资格和商务技术评审结果；</w:t>
      </w:r>
    </w:p>
    <w:p w14:paraId="4767FFC4">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3.5在系统上录入最终报价情况；</w:t>
      </w:r>
    </w:p>
    <w:p w14:paraId="76C9FF7B">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3.6磋商小组对报价情况进行评审；</w:t>
      </w:r>
    </w:p>
    <w:p w14:paraId="34BB3F6F">
      <w:pPr>
        <w:snapToGrid w:val="0"/>
        <w:spacing w:line="440" w:lineRule="exact"/>
        <w:ind w:firstLine="440" w:firstLineChars="200"/>
        <w:jc w:val="left"/>
        <w:rPr>
          <w:color w:val="auto"/>
          <w:sz w:val="22"/>
          <w:highlight w:val="none"/>
        </w:rPr>
      </w:pPr>
      <w:r>
        <w:rPr>
          <w:rFonts w:hint="eastAsia" w:ascii="宋体" w:hAnsi="宋体"/>
          <w:bCs/>
          <w:color w:val="auto"/>
          <w:sz w:val="22"/>
          <w:highlight w:val="none"/>
        </w:rPr>
        <w:t>3.7在系统上公布评审结果。</w:t>
      </w:r>
    </w:p>
    <w:p w14:paraId="310249ED">
      <w:pPr>
        <w:pStyle w:val="17"/>
        <w:adjustRightInd w:val="0"/>
        <w:spacing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4E50779F">
      <w:pPr>
        <w:pStyle w:val="17"/>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w:t>
      </w:r>
      <w:r>
        <w:rPr>
          <w:rFonts w:hint="eastAsia" w:hAnsi="宋体" w:cs="Arial"/>
          <w:color w:val="auto"/>
          <w:sz w:val="22"/>
          <w:highlight w:val="none"/>
        </w:rPr>
        <w:t>、评标</w:t>
      </w:r>
    </w:p>
    <w:p w14:paraId="571705B0">
      <w:pPr>
        <w:pStyle w:val="17"/>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2.1</w:t>
      </w:r>
      <w:r>
        <w:rPr>
          <w:rFonts w:hint="eastAsia" w:hAnsi="宋体" w:cs="Arial"/>
          <w:color w:val="auto"/>
          <w:sz w:val="22"/>
          <w:highlight w:val="none"/>
        </w:rPr>
        <w:t xml:space="preserve"> 评标由采购单位依法组建的竞争性磋商小组负责</w:t>
      </w:r>
      <w:r>
        <w:rPr>
          <w:rFonts w:hint="eastAsia" w:hAnsi="宋体"/>
          <w:color w:val="auto"/>
          <w:sz w:val="22"/>
          <w:highlight w:val="none"/>
        </w:rPr>
        <w:t>，并独立履行下列职责：</w:t>
      </w:r>
    </w:p>
    <w:p w14:paraId="33A98181">
      <w:pPr>
        <w:spacing w:line="400" w:lineRule="exact"/>
        <w:ind w:firstLine="431" w:firstLineChars="196"/>
        <w:rPr>
          <w:rFonts w:ascii="宋体"/>
          <w:color w:val="auto"/>
          <w:sz w:val="22"/>
          <w:highlight w:val="none"/>
        </w:rPr>
      </w:pPr>
      <w:bookmarkStart w:id="41" w:name="_Toc2500_WPSOffice_Level3"/>
      <w:r>
        <w:rPr>
          <w:rFonts w:ascii="宋体" w:hAnsi="宋体"/>
          <w:color w:val="auto"/>
          <w:sz w:val="22"/>
          <w:highlight w:val="none"/>
        </w:rPr>
        <w:t>1</w:t>
      </w:r>
      <w:r>
        <w:rPr>
          <w:rFonts w:hint="eastAsia" w:ascii="宋体" w:hAnsi="宋体"/>
          <w:color w:val="auto"/>
          <w:sz w:val="22"/>
          <w:highlight w:val="none"/>
        </w:rPr>
        <w:t>）审查投标（响应）文件是否符合竞争性磋商文件要求，并作出评价；</w:t>
      </w:r>
      <w:bookmarkEnd w:id="41"/>
    </w:p>
    <w:p w14:paraId="7C3E84A9">
      <w:pPr>
        <w:spacing w:line="400" w:lineRule="exact"/>
        <w:ind w:firstLine="440" w:firstLineChars="200"/>
        <w:rPr>
          <w:rFonts w:ascii="宋体"/>
          <w:color w:val="auto"/>
          <w:sz w:val="22"/>
          <w:highlight w:val="none"/>
        </w:rPr>
      </w:pPr>
      <w:bookmarkStart w:id="42" w:name="_Toc20806_WPSOffice_Level3"/>
      <w:r>
        <w:rPr>
          <w:rFonts w:ascii="宋体" w:hAnsi="宋体"/>
          <w:color w:val="auto"/>
          <w:sz w:val="22"/>
          <w:highlight w:val="none"/>
        </w:rPr>
        <w:t>2</w:t>
      </w:r>
      <w:r>
        <w:rPr>
          <w:rFonts w:hint="eastAsia" w:ascii="宋体" w:hAnsi="宋体"/>
          <w:color w:val="auto"/>
          <w:sz w:val="22"/>
          <w:highlight w:val="none"/>
        </w:rPr>
        <w:t>）要求供应商对投标（响应）文件有关事项作出解释或者澄清；</w:t>
      </w:r>
      <w:bookmarkEnd w:id="42"/>
    </w:p>
    <w:p w14:paraId="44C04281">
      <w:pPr>
        <w:spacing w:line="400" w:lineRule="exact"/>
        <w:ind w:firstLine="440" w:firstLineChars="200"/>
        <w:rPr>
          <w:rFonts w:ascii="宋体"/>
          <w:color w:val="auto"/>
          <w:sz w:val="22"/>
          <w:highlight w:val="none"/>
        </w:rPr>
      </w:pPr>
      <w:bookmarkStart w:id="43" w:name="_Toc12689_WPSOffice_Level3"/>
      <w:r>
        <w:rPr>
          <w:rFonts w:ascii="宋体" w:hAnsi="宋体"/>
          <w:color w:val="auto"/>
          <w:sz w:val="22"/>
          <w:highlight w:val="none"/>
        </w:rPr>
        <w:t>3</w:t>
      </w:r>
      <w:r>
        <w:rPr>
          <w:rFonts w:hint="eastAsia" w:ascii="宋体" w:hAnsi="宋体"/>
          <w:color w:val="auto"/>
          <w:sz w:val="22"/>
          <w:highlight w:val="none"/>
        </w:rPr>
        <w:t>）按照竞争性磋商文件确定的评标办法直接确定中标（成交）供应商；</w:t>
      </w:r>
      <w:bookmarkEnd w:id="43"/>
    </w:p>
    <w:p w14:paraId="3E831CFB">
      <w:pPr>
        <w:pStyle w:val="17"/>
        <w:adjustRightInd w:val="0"/>
        <w:spacing w:line="400" w:lineRule="exact"/>
        <w:ind w:firstLine="431" w:firstLineChars="196"/>
        <w:rPr>
          <w:rFonts w:hAnsi="宋体"/>
          <w:b/>
          <w:bCs/>
          <w:color w:val="auto"/>
          <w:sz w:val="22"/>
          <w:highlight w:val="none"/>
        </w:rPr>
      </w:pPr>
      <w:bookmarkStart w:id="44" w:name="_Toc20017_WPSOffice_Level3"/>
      <w:r>
        <w:rPr>
          <w:rFonts w:hAnsi="宋体"/>
          <w:color w:val="auto"/>
          <w:sz w:val="22"/>
          <w:highlight w:val="none"/>
        </w:rPr>
        <w:t>4</w:t>
      </w:r>
      <w:r>
        <w:rPr>
          <w:rFonts w:hint="eastAsia" w:hAnsi="宋体"/>
          <w:color w:val="auto"/>
          <w:sz w:val="22"/>
          <w:highlight w:val="none"/>
        </w:rPr>
        <w:t>）向采购单位或者有关部门报告非法干预评标工作的行为。</w:t>
      </w:r>
      <w:bookmarkEnd w:id="44"/>
    </w:p>
    <w:p w14:paraId="2D2CCE74">
      <w:pPr>
        <w:spacing w:line="400" w:lineRule="exact"/>
        <w:ind w:firstLine="431" w:firstLineChars="196"/>
        <w:rPr>
          <w:rFonts w:ascii="宋体" w:hAnsi="宋体"/>
          <w:color w:val="auto"/>
          <w:sz w:val="22"/>
          <w:highlight w:val="none"/>
        </w:rPr>
      </w:pPr>
      <w:r>
        <w:rPr>
          <w:rFonts w:ascii="宋体" w:hAnsi="宋体"/>
          <w:color w:val="auto"/>
          <w:sz w:val="22"/>
          <w:highlight w:val="none"/>
        </w:rPr>
        <w:t>2.2</w:t>
      </w:r>
      <w:r>
        <w:rPr>
          <w:rFonts w:hint="eastAsia" w:ascii="宋体" w:hAnsi="宋体"/>
          <w:color w:val="auto"/>
          <w:sz w:val="22"/>
          <w:highlight w:val="none"/>
        </w:rPr>
        <w:t xml:space="preserve"> 评标应当遵循下列工作程序：</w:t>
      </w:r>
    </w:p>
    <w:p w14:paraId="1F836796">
      <w:pPr>
        <w:spacing w:line="400" w:lineRule="exact"/>
        <w:ind w:firstLine="431" w:firstLineChars="196"/>
        <w:rPr>
          <w:rFonts w:ascii="宋体"/>
          <w:color w:val="auto"/>
          <w:sz w:val="22"/>
          <w:highlight w:val="none"/>
        </w:rPr>
      </w:pPr>
      <w:r>
        <w:rPr>
          <w:rFonts w:ascii="宋体" w:hAnsi="宋体"/>
          <w:color w:val="auto"/>
          <w:sz w:val="22"/>
          <w:highlight w:val="none"/>
        </w:rPr>
        <w:t>1</w:t>
      </w:r>
      <w:r>
        <w:rPr>
          <w:rFonts w:hint="eastAsia" w:ascii="宋体" w:hAnsi="宋体"/>
          <w:color w:val="auto"/>
          <w:sz w:val="22"/>
          <w:highlight w:val="none"/>
        </w:rPr>
        <w:t>）投标（响应）文件初审。初审分为资格性检查和符合性检查。</w:t>
      </w:r>
    </w:p>
    <w:p w14:paraId="6084CFAF">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资格性检查。由采购单位代表或招标代理机构对供应商资格进行审查。依据法律法规和竞争性磋商文件的规定，对投标（响应）文件中的资格证明文件等进行审查，以确定供应商是否具备投标资格。</w:t>
      </w:r>
    </w:p>
    <w:p w14:paraId="5A6F759B">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2)</w:t>
      </w:r>
      <w:r>
        <w:rPr>
          <w:rFonts w:hint="eastAsia" w:ascii="宋体" w:hAnsi="宋体"/>
          <w:color w:val="auto"/>
          <w:sz w:val="22"/>
          <w:highlight w:val="none"/>
        </w:rPr>
        <w:t>符合性检查。竞争性磋商小组依据竞争性磋商文件的规定，从投标（响应）文件的有效性、完整性和对竞争性磋商文件的响应程度进行审查，以确定是否对竞争性磋商文件的实质性要求作出响应。</w:t>
      </w:r>
    </w:p>
    <w:p w14:paraId="27337FCE">
      <w:pPr>
        <w:spacing w:line="400" w:lineRule="exact"/>
        <w:ind w:firstLine="44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rPr>
        <w:t>）</w:t>
      </w:r>
      <w:r>
        <w:rPr>
          <w:rFonts w:hint="eastAsia" w:ascii="宋体" w:hAnsi="宋体" w:cs="Arial"/>
          <w:color w:val="auto"/>
          <w:sz w:val="22"/>
          <w:highlight w:val="none"/>
        </w:rPr>
        <w:t>竞争性磋商小组可以根据供应商投标（响应）文件情况，经采购单位确认，调整竞争性磋商文件及采购方案，在统一采购要求的基础上，要求所有有效供应商重新修正投标（响应）文件及进行多轮次报价。</w:t>
      </w:r>
    </w:p>
    <w:p w14:paraId="46A3264A">
      <w:pPr>
        <w:spacing w:line="400" w:lineRule="exact"/>
        <w:ind w:firstLine="440"/>
        <w:rPr>
          <w:rFonts w:ascii="宋体"/>
          <w:color w:val="auto"/>
          <w:sz w:val="22"/>
          <w:highlight w:val="none"/>
        </w:rPr>
      </w:pPr>
      <w:r>
        <w:rPr>
          <w:rFonts w:ascii="宋体" w:hAnsi="宋体"/>
          <w:color w:val="auto"/>
          <w:sz w:val="22"/>
          <w:highlight w:val="none"/>
        </w:rPr>
        <w:t>3</w:t>
      </w:r>
      <w:r>
        <w:rPr>
          <w:rFonts w:hint="eastAsia" w:ascii="宋体" w:hAnsi="宋体"/>
          <w:color w:val="auto"/>
          <w:sz w:val="22"/>
          <w:highlight w:val="none"/>
        </w:rPr>
        <w:t>）比较与评价。按竞争性磋商文件中规定的评标方法和标准，对资格性检查和符合性检查合格的投标（响应）文件进行商务和技术评估，综合比较与评价。</w:t>
      </w:r>
    </w:p>
    <w:p w14:paraId="5DFD750B">
      <w:pPr>
        <w:spacing w:line="400" w:lineRule="exact"/>
        <w:ind w:firstLine="440"/>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）推荐中标（成交）供应商候选人名单，并根据采购单位的授权确定中标（成交）供应商。</w:t>
      </w:r>
    </w:p>
    <w:p w14:paraId="7930C1B8">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2.3 </w:t>
      </w:r>
      <w:r>
        <w:rPr>
          <w:rFonts w:hint="eastAsia" w:hAnsi="宋体" w:cs="Arial"/>
          <w:b/>
          <w:bCs/>
          <w:color w:val="auto"/>
          <w:sz w:val="22"/>
          <w:highlight w:val="none"/>
          <w:u w:val="single"/>
        </w:rPr>
        <w:t>供应商存在下列情况之一的，报价无效</w:t>
      </w:r>
      <w:r>
        <w:rPr>
          <w:rFonts w:hAnsi="宋体" w:cs="Arial"/>
          <w:b/>
          <w:bCs/>
          <w:color w:val="auto"/>
          <w:sz w:val="22"/>
          <w:highlight w:val="none"/>
          <w:u w:val="single"/>
        </w:rPr>
        <w:t>:</w:t>
      </w:r>
    </w:p>
    <w:p w14:paraId="240B7454">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）响应文件未按竞争性磋商文件要求签署、盖章的；</w:t>
      </w:r>
    </w:p>
    <w:p w14:paraId="3A669609">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2）不具备竞争性磋商文件中规定的资格要求的；</w:t>
      </w:r>
    </w:p>
    <w:p w14:paraId="0EC53397">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3）最终报价超过竞争性磋商文件中规定的预算金额或者最高限价的；</w:t>
      </w:r>
    </w:p>
    <w:p w14:paraId="524164DB">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4）响应文件含有采购单位不能接受的附加条件的（包括竞争性磋商文件中明确要求不得偏离的招标要求，存在负偏离的）</w:t>
      </w:r>
      <w:r>
        <w:rPr>
          <w:rFonts w:hAnsi="宋体" w:cs="Arial"/>
          <w:b/>
          <w:bCs/>
          <w:color w:val="auto"/>
          <w:sz w:val="22"/>
          <w:highlight w:val="none"/>
          <w:u w:val="single"/>
        </w:rPr>
        <w:t>;</w:t>
      </w:r>
    </w:p>
    <w:p w14:paraId="73C67C97">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5）对关键条文的偏离、保留或反对，例如关于付款方式、完工期（服务期）、免费质保期、适用法律法规、标准、税费等其他内容；</w:t>
      </w:r>
    </w:p>
    <w:p w14:paraId="624024C9">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6）存在串标、抬标或弄虚作假情况的；</w:t>
      </w:r>
    </w:p>
    <w:p w14:paraId="1CBECAA4">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7）法律、法规和竞争性磋商文件规定的其他无效情形（或出现重大偏差）。</w:t>
      </w:r>
    </w:p>
    <w:p w14:paraId="41311F06">
      <w:pPr>
        <w:pStyle w:val="17"/>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2.4 </w:t>
      </w:r>
      <w:r>
        <w:rPr>
          <w:rFonts w:hint="eastAsia" w:hAnsi="宋体" w:cs="Arial"/>
          <w:b/>
          <w:bCs/>
          <w:color w:val="auto"/>
          <w:sz w:val="22"/>
          <w:highlight w:val="none"/>
          <w:u w:val="single"/>
        </w:rPr>
        <w:t>竞争性磋商评审小组发现响应文件有下列情形之一的属于重大偏差</w:t>
      </w:r>
      <w:r>
        <w:rPr>
          <w:rFonts w:hAnsi="宋体" w:cs="Arial"/>
          <w:b/>
          <w:bCs/>
          <w:color w:val="auto"/>
          <w:sz w:val="22"/>
          <w:highlight w:val="none"/>
          <w:u w:val="single"/>
        </w:rPr>
        <w:t>(</w:t>
      </w:r>
      <w:r>
        <w:rPr>
          <w:rFonts w:hint="eastAsia" w:hAnsi="宋体" w:cs="Arial"/>
          <w:b/>
          <w:bCs/>
          <w:color w:val="auto"/>
          <w:sz w:val="22"/>
          <w:highlight w:val="none"/>
          <w:u w:val="single"/>
        </w:rPr>
        <w:t>竞争性磋商评审小组按少数服从多数原则认定</w:t>
      </w:r>
      <w:r>
        <w:rPr>
          <w:rFonts w:hAnsi="宋体" w:cs="Arial"/>
          <w:b/>
          <w:bCs/>
          <w:color w:val="auto"/>
          <w:sz w:val="22"/>
          <w:highlight w:val="none"/>
          <w:u w:val="single"/>
        </w:rPr>
        <w:t>),</w:t>
      </w:r>
      <w:r>
        <w:rPr>
          <w:rFonts w:hint="eastAsia" w:hAnsi="宋体" w:cs="Arial"/>
          <w:b/>
          <w:bCs/>
          <w:color w:val="auto"/>
          <w:sz w:val="22"/>
          <w:highlight w:val="none"/>
          <w:u w:val="single"/>
        </w:rPr>
        <w:t>按照无效投标处理：</w:t>
      </w:r>
    </w:p>
    <w:p w14:paraId="3EDD923B">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）未按竞争性磋商文件要求编制或字迹模糊、辨认不清的响应文件；</w:t>
      </w:r>
    </w:p>
    <w:p w14:paraId="25A7EF7F">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2</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条款以外，出现其它明显不符合采购要求的响应文件；</w:t>
      </w:r>
    </w:p>
    <w:p w14:paraId="0D438D71">
      <w:pPr>
        <w:pStyle w:val="17"/>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3</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条款以外，出现其它不符合竞争性磋商文件中规定的实质性要求的响应文件，是否为偏离实质性要求由竞争性磋商评审小组认定。</w:t>
      </w:r>
    </w:p>
    <w:p w14:paraId="649716BD">
      <w:pPr>
        <w:pStyle w:val="17"/>
        <w:adjustRightInd w:val="0"/>
        <w:snapToGrid w:val="0"/>
        <w:spacing w:line="400" w:lineRule="exact"/>
        <w:ind w:firstLine="435" w:firstLineChars="197"/>
        <w:rPr>
          <w:rFonts w:hAnsi="宋体"/>
          <w:b/>
          <w:bCs/>
          <w:color w:val="auto"/>
          <w:sz w:val="22"/>
          <w:highlight w:val="none"/>
          <w:u w:val="single"/>
        </w:rPr>
      </w:pPr>
      <w:r>
        <w:rPr>
          <w:rFonts w:hint="eastAsia" w:hAnsi="宋体"/>
          <w:b/>
          <w:bCs/>
          <w:color w:val="auto"/>
          <w:sz w:val="22"/>
          <w:highlight w:val="none"/>
          <w:u w:val="single"/>
        </w:rPr>
        <w:t>▲</w:t>
      </w:r>
      <w:r>
        <w:rPr>
          <w:rFonts w:hAnsi="宋体" w:cs="Arial"/>
          <w:b/>
          <w:bCs/>
          <w:color w:val="auto"/>
          <w:sz w:val="22"/>
          <w:highlight w:val="none"/>
          <w:u w:val="single"/>
        </w:rPr>
        <w:t>2.5</w:t>
      </w:r>
      <w:r>
        <w:rPr>
          <w:rFonts w:hAnsi="宋体"/>
          <w:b/>
          <w:bCs/>
          <w:color w:val="auto"/>
          <w:sz w:val="22"/>
          <w:highlight w:val="none"/>
          <w:u w:val="single"/>
        </w:rPr>
        <w:t xml:space="preserve"> </w:t>
      </w:r>
      <w:r>
        <w:rPr>
          <w:rFonts w:hint="eastAsia" w:hAnsi="宋体"/>
          <w:b/>
          <w:bCs/>
          <w:color w:val="auto"/>
          <w:sz w:val="22"/>
          <w:highlight w:val="none"/>
          <w:u w:val="single"/>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046D74FF">
      <w:pPr>
        <w:pStyle w:val="17"/>
        <w:adjustRightInd w:val="0"/>
        <w:snapToGrid w:val="0"/>
        <w:spacing w:line="400" w:lineRule="exact"/>
        <w:ind w:firstLine="433" w:firstLineChars="197"/>
        <w:rPr>
          <w:rFonts w:hAnsi="宋体"/>
          <w:bCs/>
          <w:color w:val="auto"/>
          <w:sz w:val="22"/>
          <w:highlight w:val="none"/>
        </w:rPr>
      </w:pPr>
      <w:r>
        <w:rPr>
          <w:rFonts w:hAnsi="宋体" w:cs="Arial"/>
          <w:bCs/>
          <w:color w:val="auto"/>
          <w:sz w:val="22"/>
          <w:highlight w:val="none"/>
        </w:rPr>
        <w:t xml:space="preserve">2.6 </w:t>
      </w:r>
      <w:r>
        <w:rPr>
          <w:rFonts w:hint="eastAsia" w:hAnsi="宋体" w:cs="Arial"/>
          <w:bCs/>
          <w:color w:val="auto"/>
          <w:sz w:val="22"/>
          <w:highlight w:val="none"/>
        </w:rPr>
        <w:t>竞争性磋商评审小组</w:t>
      </w:r>
      <w:r>
        <w:rPr>
          <w:rFonts w:hint="eastAsia" w:hAnsi="宋体"/>
          <w:bCs/>
          <w:color w:val="auto"/>
          <w:sz w:val="22"/>
          <w:highlight w:val="none"/>
        </w:rPr>
        <w:t>在评标中，不得改变竞争性磋商文件中规定的评标标准、方法和成交条件。</w:t>
      </w:r>
    </w:p>
    <w:p w14:paraId="439231AD">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 xml:space="preserve">2.7 </w:t>
      </w:r>
      <w:r>
        <w:rPr>
          <w:rFonts w:hint="eastAsia" w:hAnsi="宋体"/>
          <w:bCs/>
          <w:color w:val="auto"/>
          <w:sz w:val="22"/>
          <w:highlight w:val="none"/>
        </w:rPr>
        <w:t>评标时如遇到竞争性磋商文件未规定的特殊情况，由竞争性磋商评审小组按少数服从多数原则集体决定处理。</w:t>
      </w:r>
    </w:p>
    <w:p w14:paraId="28BC602A">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2.8</w:t>
      </w:r>
      <w:r>
        <w:rPr>
          <w:rFonts w:hint="eastAsia" w:hAnsi="宋体"/>
          <w:bCs/>
          <w:color w:val="auto"/>
          <w:sz w:val="22"/>
          <w:highlight w:val="none"/>
        </w:rPr>
        <w:t>竞争性磋商评审小组对未成交的供应商不作解释。同时根据政府采购法实施条例第四十条规定，本项目不对供应商公布详细的评审情况，不公布具体评标细则中小项得分。</w:t>
      </w:r>
    </w:p>
    <w:p w14:paraId="61593697">
      <w:pPr>
        <w:adjustRightInd w:val="0"/>
        <w:spacing w:line="380" w:lineRule="exact"/>
        <w:ind w:firstLine="442" w:firstLineChars="200"/>
        <w:rPr>
          <w:rFonts w:ascii="宋体" w:hAnsi="宋体" w:eastAsia="宋体" w:cs="Times New Roman"/>
          <w:b/>
          <w:bCs/>
          <w:color w:val="auto"/>
          <w:sz w:val="22"/>
          <w:szCs w:val="20"/>
          <w:highlight w:val="none"/>
          <w:u w:val="single"/>
        </w:rPr>
      </w:pPr>
      <w:r>
        <w:rPr>
          <w:rFonts w:hint="eastAsia" w:ascii="宋体" w:hAnsi="宋体" w:eastAsia="宋体" w:cs="宋体"/>
          <w:b/>
          <w:bCs/>
          <w:color w:val="auto"/>
          <w:sz w:val="22"/>
          <w:szCs w:val="20"/>
          <w:highlight w:val="none"/>
          <w:u w:val="single"/>
        </w:rPr>
        <w:t>▲</w:t>
      </w:r>
      <w:r>
        <w:rPr>
          <w:rFonts w:ascii="宋体" w:hAnsi="宋体" w:eastAsia="宋体" w:cs="Times New Roman"/>
          <w:b/>
          <w:bCs/>
          <w:color w:val="auto"/>
          <w:sz w:val="22"/>
          <w:szCs w:val="20"/>
          <w:highlight w:val="none"/>
          <w:u w:val="single"/>
        </w:rPr>
        <w:t>2.9</w:t>
      </w:r>
      <w:r>
        <w:rPr>
          <w:rFonts w:hint="eastAsia" w:ascii="宋体" w:hAnsi="宋体" w:eastAsia="宋体" w:cs="Times New Roman"/>
          <w:b/>
          <w:bCs/>
          <w:color w:val="auto"/>
          <w:sz w:val="22"/>
          <w:szCs w:val="20"/>
          <w:highlight w:val="none"/>
          <w:u w:val="single"/>
        </w:rPr>
        <w:t>、</w:t>
      </w:r>
      <w:r>
        <w:rPr>
          <w:rFonts w:hint="eastAsia" w:ascii="宋体" w:hAnsi="宋体" w:eastAsia="宋体" w:cs="Arial"/>
          <w:b/>
          <w:color w:val="auto"/>
          <w:sz w:val="22"/>
          <w:szCs w:val="20"/>
          <w:highlight w:val="none"/>
          <w:u w:val="single"/>
        </w:rPr>
        <w:t>投标截止</w:t>
      </w:r>
      <w:r>
        <w:rPr>
          <w:rFonts w:hint="eastAsia" w:ascii="宋体" w:hAnsi="宋体" w:eastAsia="宋体" w:cs="Arial"/>
          <w:b/>
          <w:color w:val="auto"/>
          <w:kern w:val="0"/>
          <w:sz w:val="22"/>
          <w:szCs w:val="20"/>
          <w:highlight w:val="none"/>
          <w:u w:val="single"/>
        </w:rPr>
        <w:t>前供应商不足三家的，按流标处理，在评审过程中出现不足三家的</w:t>
      </w:r>
      <w:r>
        <w:rPr>
          <w:rFonts w:hint="eastAsia" w:ascii="宋体" w:hAnsi="宋体" w:eastAsia="宋体" w:cs="Arial"/>
          <w:b/>
          <w:color w:val="auto"/>
          <w:sz w:val="22"/>
          <w:szCs w:val="20"/>
          <w:highlight w:val="none"/>
          <w:u w:val="single"/>
        </w:rPr>
        <w:t>根据竞争性磋商小组意见，可以流标；也可以按财政部《关于政府采购竞争性磋商采购方式管理暂行办法有关问题的补充通知【财库〔</w:t>
      </w:r>
      <w:r>
        <w:rPr>
          <w:rFonts w:ascii="宋体" w:hAnsi="宋体" w:eastAsia="宋体" w:cs="Arial"/>
          <w:b/>
          <w:color w:val="auto"/>
          <w:sz w:val="22"/>
          <w:szCs w:val="20"/>
          <w:highlight w:val="none"/>
          <w:u w:val="single"/>
        </w:rPr>
        <w:t>2015</w:t>
      </w:r>
      <w:r>
        <w:rPr>
          <w:rFonts w:hint="eastAsia" w:ascii="宋体" w:hAnsi="宋体" w:eastAsia="宋体" w:cs="Arial"/>
          <w:b/>
          <w:color w:val="auto"/>
          <w:sz w:val="22"/>
          <w:szCs w:val="20"/>
          <w:highlight w:val="none"/>
          <w:u w:val="single"/>
        </w:rPr>
        <w:t>〕</w:t>
      </w:r>
      <w:r>
        <w:rPr>
          <w:rFonts w:ascii="宋体" w:hAnsi="宋体" w:eastAsia="宋体" w:cs="Arial"/>
          <w:b/>
          <w:color w:val="auto"/>
          <w:sz w:val="22"/>
          <w:szCs w:val="20"/>
          <w:highlight w:val="none"/>
          <w:u w:val="single"/>
        </w:rPr>
        <w:t>124</w:t>
      </w:r>
      <w:r>
        <w:rPr>
          <w:rFonts w:hint="eastAsia" w:ascii="宋体" w:hAnsi="宋体" w:eastAsia="宋体" w:cs="Arial"/>
          <w:b/>
          <w:color w:val="auto"/>
          <w:sz w:val="22"/>
          <w:szCs w:val="20"/>
          <w:highlight w:val="none"/>
          <w:u w:val="single"/>
        </w:rPr>
        <w:t>号】》文件规定执行。</w:t>
      </w:r>
    </w:p>
    <w:p w14:paraId="2D167123">
      <w:pPr>
        <w:rPr>
          <w:color w:val="auto"/>
          <w:highlight w:val="none"/>
        </w:rPr>
      </w:pPr>
    </w:p>
    <w:p w14:paraId="2E579557">
      <w:pPr>
        <w:pStyle w:val="17"/>
        <w:adjustRightInd w:val="0"/>
        <w:snapToGrid w:val="0"/>
        <w:spacing w:line="400" w:lineRule="exact"/>
        <w:ind w:firstLine="433" w:firstLineChars="197"/>
        <w:rPr>
          <w:rFonts w:hAnsi="宋体" w:cs="Arial"/>
          <w:color w:val="auto"/>
          <w:sz w:val="22"/>
          <w:highlight w:val="none"/>
        </w:rPr>
      </w:pPr>
      <w:r>
        <w:rPr>
          <w:rFonts w:hAnsi="宋体" w:cs="Arial"/>
          <w:color w:val="auto"/>
          <w:sz w:val="22"/>
          <w:highlight w:val="none"/>
        </w:rPr>
        <w:t>3</w:t>
      </w:r>
      <w:r>
        <w:rPr>
          <w:rFonts w:hint="eastAsia" w:hAnsi="宋体" w:cs="Arial"/>
          <w:color w:val="auto"/>
          <w:sz w:val="22"/>
          <w:highlight w:val="none"/>
        </w:rPr>
        <w:t>、响应文件的澄清</w:t>
      </w:r>
    </w:p>
    <w:p w14:paraId="1AE7D29E">
      <w:pPr>
        <w:adjustRightInd w:val="0"/>
        <w:snapToGrid w:val="0"/>
        <w:spacing w:line="400" w:lineRule="exact"/>
        <w:ind w:firstLine="433" w:firstLineChars="197"/>
        <w:rPr>
          <w:rFonts w:ascii="宋体" w:cs="Arial"/>
          <w:color w:val="auto"/>
          <w:sz w:val="22"/>
          <w:highlight w:val="none"/>
        </w:rPr>
      </w:pPr>
      <w:r>
        <w:rPr>
          <w:rFonts w:hint="eastAsia" w:ascii="宋体" w:hAnsi="宋体" w:cs="Arial"/>
          <w:color w:val="auto"/>
          <w:sz w:val="22"/>
          <w:highlight w:val="none"/>
        </w:rPr>
        <w:t>为有利于对响应文件的比较和评议，必要时采购单位及竞争性磋商评审小组可要求供应商对响应文件及合同条款进行澄清，并做出书面答复。书面答复须有授权代表签字并作为报价内容的一部分。</w:t>
      </w:r>
    </w:p>
    <w:p w14:paraId="0CFB7839">
      <w:pPr>
        <w:adjustRightInd w:val="0"/>
        <w:snapToGrid w:val="0"/>
        <w:spacing w:line="400" w:lineRule="exact"/>
        <w:ind w:left="414" w:leftChars="197"/>
        <w:rPr>
          <w:rFonts w:ascii="宋体" w:hAnsi="宋体" w:cs="Arial"/>
          <w:b/>
          <w:bCs/>
          <w:color w:val="auto"/>
          <w:sz w:val="22"/>
          <w:highlight w:val="none"/>
          <w:u w:val="single"/>
        </w:rPr>
      </w:pPr>
      <w:r>
        <w:rPr>
          <w:rFonts w:hint="eastAsia" w:ascii="宋体" w:hAnsi="宋体" w:eastAsia="宋体" w:cs="宋体"/>
          <w:b/>
          <w:bCs/>
          <w:color w:val="auto"/>
          <w:sz w:val="22"/>
          <w:highlight w:val="none"/>
          <w:u w:val="single"/>
        </w:rPr>
        <w:t>▲</w:t>
      </w:r>
      <w:r>
        <w:rPr>
          <w:rFonts w:ascii="宋体" w:hAnsi="宋体" w:cs="Arial"/>
          <w:b/>
          <w:bCs/>
          <w:color w:val="auto"/>
          <w:sz w:val="22"/>
          <w:highlight w:val="none"/>
          <w:u w:val="single"/>
        </w:rPr>
        <w:t>4</w:t>
      </w:r>
      <w:r>
        <w:rPr>
          <w:rFonts w:hint="eastAsia" w:ascii="宋体" w:hAnsi="宋体" w:cs="Arial"/>
          <w:b/>
          <w:bCs/>
          <w:color w:val="auto"/>
          <w:sz w:val="22"/>
          <w:highlight w:val="none"/>
          <w:u w:val="single"/>
        </w:rPr>
        <w:t>、有下列情形之一的，视为供应商相互串通投标：</w:t>
      </w:r>
    </w:p>
    <w:p w14:paraId="59DFFE26">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4.1</w:t>
      </w:r>
      <w:r>
        <w:rPr>
          <w:rFonts w:hint="eastAsia" w:ascii="宋体" w:hAnsi="宋体" w:cs="Arial"/>
          <w:b/>
          <w:bCs/>
          <w:color w:val="auto"/>
          <w:sz w:val="22"/>
          <w:highlight w:val="none"/>
          <w:u w:val="single"/>
        </w:rPr>
        <w:t>不同供应商的响应文件由同一单位或者个人编制；</w:t>
      </w:r>
    </w:p>
    <w:p w14:paraId="53CE6BC1">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4.2</w:t>
      </w:r>
      <w:r>
        <w:rPr>
          <w:rFonts w:hint="eastAsia" w:ascii="宋体" w:hAnsi="宋体" w:cs="Arial"/>
          <w:b/>
          <w:bCs/>
          <w:color w:val="auto"/>
          <w:sz w:val="22"/>
          <w:highlight w:val="none"/>
          <w:u w:val="single"/>
        </w:rPr>
        <w:t>不同供应商委托同一单位或者个人办理投标事宜；</w:t>
      </w:r>
    </w:p>
    <w:p w14:paraId="532A4A8C">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4.3</w:t>
      </w:r>
      <w:r>
        <w:rPr>
          <w:rFonts w:hint="eastAsia" w:ascii="宋体" w:hAnsi="宋体" w:cs="Arial"/>
          <w:b/>
          <w:bCs/>
          <w:color w:val="auto"/>
          <w:sz w:val="22"/>
          <w:highlight w:val="none"/>
          <w:u w:val="single"/>
        </w:rPr>
        <w:t>不同供应商的响应文件载明的项目管理成员为同一人；</w:t>
      </w:r>
    </w:p>
    <w:p w14:paraId="0CEAE76C">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4.4</w:t>
      </w:r>
      <w:r>
        <w:rPr>
          <w:rFonts w:hint="eastAsia" w:ascii="宋体" w:hAnsi="宋体" w:cs="Arial"/>
          <w:b/>
          <w:bCs/>
          <w:color w:val="auto"/>
          <w:sz w:val="22"/>
          <w:highlight w:val="none"/>
          <w:u w:val="single"/>
        </w:rPr>
        <w:t>不同供应商的响应文件异常一致或者投标报价呈规律性差异；</w:t>
      </w:r>
    </w:p>
    <w:p w14:paraId="2D716C70">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4.5</w:t>
      </w:r>
      <w:r>
        <w:rPr>
          <w:rFonts w:hint="eastAsia" w:ascii="宋体" w:hAnsi="宋体" w:cs="Arial"/>
          <w:b/>
          <w:bCs/>
          <w:color w:val="auto"/>
          <w:sz w:val="22"/>
          <w:highlight w:val="none"/>
          <w:u w:val="single"/>
        </w:rPr>
        <w:t>不同供应商的响应文件相互混装；</w:t>
      </w:r>
    </w:p>
    <w:p w14:paraId="38158F10">
      <w:pPr>
        <w:adjustRightInd w:val="0"/>
        <w:snapToGrid w:val="0"/>
        <w:spacing w:line="400" w:lineRule="exact"/>
        <w:ind w:left="13" w:leftChars="6" w:firstLine="400" w:firstLineChars="181"/>
        <w:rPr>
          <w:rFonts w:ascii="宋体" w:hAnsi="宋体" w:cs="Arial"/>
          <w:b/>
          <w:bCs/>
          <w:color w:val="auto"/>
          <w:sz w:val="22"/>
          <w:highlight w:val="none"/>
          <w:u w:val="single"/>
        </w:rPr>
      </w:pPr>
      <w:r>
        <w:rPr>
          <w:rFonts w:ascii="宋体" w:hAnsi="宋体" w:cs="Arial"/>
          <w:b/>
          <w:bCs/>
          <w:color w:val="auto"/>
          <w:sz w:val="22"/>
          <w:highlight w:val="none"/>
          <w:u w:val="single"/>
        </w:rPr>
        <w:t>4.</w:t>
      </w:r>
      <w:r>
        <w:rPr>
          <w:rFonts w:hint="eastAsia" w:ascii="宋体" w:hAnsi="宋体" w:cs="Arial"/>
          <w:b/>
          <w:bCs/>
          <w:color w:val="auto"/>
          <w:sz w:val="22"/>
          <w:highlight w:val="none"/>
          <w:u w:val="single"/>
        </w:rPr>
        <w:t>6经竞争性磋商评审小组认定供应商进行串通投标的，竞争性磋商评审小组可以对相关供应商做出无效报价处理，并上报政府采购管理部门进行进一步处理。</w:t>
      </w:r>
    </w:p>
    <w:p w14:paraId="1296B03E">
      <w:pPr>
        <w:pStyle w:val="17"/>
        <w:adjustRightInd w:val="0"/>
        <w:snapToGrid w:val="0"/>
        <w:spacing w:line="400" w:lineRule="exact"/>
        <w:ind w:firstLine="433" w:firstLineChars="197"/>
        <w:rPr>
          <w:rFonts w:hAnsi="宋体" w:cs="Arial"/>
          <w:bCs/>
          <w:color w:val="auto"/>
          <w:sz w:val="22"/>
          <w:highlight w:val="none"/>
        </w:rPr>
      </w:pPr>
      <w:r>
        <w:rPr>
          <w:rFonts w:hAnsi="宋体" w:cs="Arial"/>
          <w:bCs/>
          <w:color w:val="auto"/>
          <w:sz w:val="22"/>
          <w:highlight w:val="none"/>
        </w:rPr>
        <w:t>5</w:t>
      </w:r>
      <w:r>
        <w:rPr>
          <w:rFonts w:hint="eastAsia" w:hAnsi="宋体" w:cs="Arial"/>
          <w:bCs/>
          <w:color w:val="auto"/>
          <w:sz w:val="22"/>
          <w:highlight w:val="none"/>
        </w:rPr>
        <w:t>、评标原则</w:t>
      </w:r>
    </w:p>
    <w:p w14:paraId="02263486">
      <w:pPr>
        <w:pStyle w:val="17"/>
        <w:adjustRightInd w:val="0"/>
        <w:spacing w:line="400" w:lineRule="exact"/>
        <w:ind w:firstLine="440" w:firstLineChars="200"/>
        <w:rPr>
          <w:rFonts w:hAnsi="宋体" w:cs="Arial"/>
          <w:bCs/>
          <w:color w:val="auto"/>
          <w:sz w:val="22"/>
          <w:highlight w:val="none"/>
        </w:rPr>
      </w:pPr>
      <w:r>
        <w:rPr>
          <w:rFonts w:hint="eastAsia" w:hAnsi="宋体" w:cs="Arial"/>
          <w:bCs/>
          <w:color w:val="auto"/>
          <w:sz w:val="22"/>
          <w:highlight w:val="none"/>
        </w:rPr>
        <w:t>评标办法具体见本竞争性磋商文件第七部分。</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58281911">
      <w:pPr>
        <w:pStyle w:val="17"/>
        <w:adjustRightInd w:val="0"/>
        <w:snapToGrid w:val="0"/>
        <w:spacing w:line="400" w:lineRule="exact"/>
        <w:outlineLvl w:val="0"/>
        <w:rPr>
          <w:rFonts w:hAnsi="宋体"/>
          <w:b/>
          <w:color w:val="auto"/>
          <w:sz w:val="22"/>
          <w:highlight w:val="none"/>
        </w:rPr>
      </w:pPr>
      <w:r>
        <w:rPr>
          <w:rFonts w:hint="eastAsia" w:hAnsi="宋体"/>
          <w:b/>
          <w:color w:val="auto"/>
          <w:sz w:val="22"/>
          <w:highlight w:val="none"/>
        </w:rPr>
        <w:t>六、授予合同</w:t>
      </w:r>
    </w:p>
    <w:p w14:paraId="2D166D9C">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1</w:t>
      </w:r>
      <w:r>
        <w:rPr>
          <w:rFonts w:hint="eastAsia" w:hAnsi="宋体"/>
          <w:bCs/>
          <w:color w:val="auto"/>
          <w:sz w:val="22"/>
          <w:highlight w:val="none"/>
        </w:rPr>
        <w:t>、决标</w:t>
      </w:r>
    </w:p>
    <w:p w14:paraId="3A6A6697">
      <w:pPr>
        <w:pStyle w:val="17"/>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评标结束后，竞争性磋商评审小组按照竞争性磋商文件确定的评标办法推荐成交供应商。</w:t>
      </w:r>
    </w:p>
    <w:p w14:paraId="454F536C">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w:t>
      </w:r>
      <w:r>
        <w:rPr>
          <w:rFonts w:hint="eastAsia" w:hAnsi="宋体"/>
          <w:bCs/>
          <w:color w:val="auto"/>
          <w:sz w:val="22"/>
          <w:highlight w:val="none"/>
        </w:rPr>
        <w:t>、成交通知书</w:t>
      </w:r>
    </w:p>
    <w:p w14:paraId="66A0561C">
      <w:pPr>
        <w:pStyle w:val="17"/>
        <w:adjustRightInd w:val="0"/>
        <w:snapToGrid w:val="0"/>
        <w:spacing w:line="400" w:lineRule="exact"/>
        <w:ind w:firstLine="433" w:firstLineChars="197"/>
        <w:rPr>
          <w:rFonts w:hAnsi="宋体"/>
          <w:b/>
          <w:bCs/>
          <w:color w:val="auto"/>
          <w:sz w:val="22"/>
          <w:highlight w:val="none"/>
        </w:rPr>
      </w:pPr>
      <w:bookmarkStart w:id="45" w:name="_Toc764_WPSOffice_Level3"/>
      <w:r>
        <w:rPr>
          <w:rFonts w:hAnsi="宋体"/>
          <w:color w:val="auto"/>
          <w:sz w:val="22"/>
          <w:highlight w:val="none"/>
        </w:rPr>
        <w:t>2</w:t>
      </w:r>
      <w:r>
        <w:rPr>
          <w:rFonts w:hint="eastAsia" w:hAnsi="宋体"/>
          <w:color w:val="auto"/>
          <w:sz w:val="22"/>
          <w:highlight w:val="none"/>
        </w:rPr>
        <w:t>.</w:t>
      </w:r>
      <w:bookmarkEnd w:id="45"/>
      <w:r>
        <w:rPr>
          <w:rFonts w:hint="eastAsia" w:hAnsi="宋体"/>
          <w:color w:val="auto"/>
          <w:sz w:val="22"/>
          <w:highlight w:val="none"/>
        </w:rPr>
        <w:t>中标（成交）通知书</w:t>
      </w:r>
    </w:p>
    <w:p w14:paraId="1CC7D7ED">
      <w:pPr>
        <w:spacing w:line="400" w:lineRule="exact"/>
        <w:ind w:firstLine="433" w:firstLineChars="197"/>
        <w:rPr>
          <w:rFonts w:ascii="宋体"/>
          <w:color w:val="auto"/>
          <w:sz w:val="22"/>
          <w:highlight w:val="none"/>
        </w:rPr>
      </w:pPr>
      <w:r>
        <w:rPr>
          <w:rFonts w:ascii="宋体" w:hAnsi="宋体"/>
          <w:color w:val="auto"/>
          <w:sz w:val="22"/>
          <w:highlight w:val="none"/>
        </w:rPr>
        <w:t>2.1</w:t>
      </w:r>
      <w:r>
        <w:rPr>
          <w:rFonts w:hint="eastAsia" w:ascii="宋体" w:hAnsi="宋体"/>
          <w:color w:val="auto"/>
          <w:sz w:val="22"/>
          <w:highlight w:val="none"/>
        </w:rPr>
        <w:t>采购单位依法确认中标（成交）供应商后，代理机构在浙江省政府采购网上公示中标（成交）供应商名单，公示期限为</w:t>
      </w:r>
      <w:r>
        <w:rPr>
          <w:rFonts w:ascii="宋体" w:hAnsi="宋体"/>
          <w:color w:val="auto"/>
          <w:sz w:val="22"/>
          <w:highlight w:val="none"/>
        </w:rPr>
        <w:t>1</w:t>
      </w:r>
      <w:r>
        <w:rPr>
          <w:rFonts w:hint="eastAsia" w:ascii="宋体" w:hAnsi="宋体"/>
          <w:color w:val="auto"/>
          <w:sz w:val="22"/>
          <w:highlight w:val="none"/>
        </w:rPr>
        <w:t>个工作日。同时向中标（成交）供应商发出中标（成交）通知书。</w:t>
      </w:r>
    </w:p>
    <w:p w14:paraId="60274EB4">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2.2</w:t>
      </w:r>
      <w:r>
        <w:rPr>
          <w:rFonts w:hint="eastAsia" w:ascii="宋体" w:hAnsi="宋体"/>
          <w:color w:val="auto"/>
          <w:sz w:val="22"/>
          <w:highlight w:val="none"/>
        </w:rPr>
        <w:t>中标（成交）通知书对采购单位和中标（成交）供应商具有法律约束力。中标（成交）通知书发出后，采购单位改变中标结果或者中标（成交）供应商放弃中标的，应当承担法律责任。</w:t>
      </w:r>
    </w:p>
    <w:p w14:paraId="7E2BD9F2">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3、成交无效</w:t>
      </w:r>
    </w:p>
    <w:p w14:paraId="4F875697">
      <w:pPr>
        <w:adjustRightInd w:val="0"/>
        <w:snapToGrid w:val="0"/>
        <w:spacing w:line="400" w:lineRule="exact"/>
        <w:ind w:firstLine="433" w:firstLineChars="197"/>
        <w:rPr>
          <w:rFonts w:ascii="宋体" w:hAnsi="宋体"/>
          <w:color w:val="auto"/>
          <w:sz w:val="22"/>
          <w:highlight w:val="none"/>
        </w:rPr>
      </w:pPr>
      <w:r>
        <w:rPr>
          <w:rFonts w:hint="eastAsia" w:ascii="宋体" w:hAnsi="宋体"/>
          <w:color w:val="auto"/>
          <w:sz w:val="22"/>
          <w:highlight w:val="none"/>
        </w:rPr>
        <w:t>3.1发现中标（成交）供应商资格无效或中标（成交）供应商放弃成交或拒绝与采购单位签订合同的,按相关法律进行处理，原则上重新开展政府采购活动。</w:t>
      </w:r>
    </w:p>
    <w:p w14:paraId="06338392">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3.2有《中华人民共和国政府采购法实施条例》第七十一条、第七十二条、第七十三条、第七十四条规定的违法行为之一，由政府采购监管部门依法处理。</w:t>
      </w:r>
    </w:p>
    <w:p w14:paraId="342B0F8C">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4</w:t>
      </w:r>
      <w:r>
        <w:rPr>
          <w:rFonts w:hint="eastAsia" w:hAnsi="宋体"/>
          <w:bCs/>
          <w:color w:val="auto"/>
          <w:sz w:val="22"/>
          <w:highlight w:val="none"/>
        </w:rPr>
        <w:t>、签订合同</w:t>
      </w:r>
    </w:p>
    <w:p w14:paraId="3D4DD979">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4.1 </w:t>
      </w:r>
      <w:r>
        <w:rPr>
          <w:rFonts w:hint="eastAsia" w:ascii="宋体" w:hAnsi="宋体"/>
          <w:color w:val="auto"/>
          <w:sz w:val="22"/>
          <w:highlight w:val="none"/>
        </w:rPr>
        <w:t>成交供应商须主动联系采购单位或采购机构领取成交通知书。成交供应商应当在成交通知书发出之日起</w:t>
      </w:r>
      <w:r>
        <w:rPr>
          <w:rFonts w:ascii="宋体" w:hAnsi="宋体"/>
          <w:color w:val="auto"/>
          <w:sz w:val="22"/>
          <w:highlight w:val="none"/>
        </w:rPr>
        <w:t>30</w:t>
      </w:r>
      <w:r>
        <w:rPr>
          <w:rFonts w:hint="eastAsia" w:ascii="宋体" w:hAnsi="宋体"/>
          <w:color w:val="auto"/>
          <w:sz w:val="22"/>
          <w:highlight w:val="none"/>
        </w:rPr>
        <w:t>日内与采购单位签订合同。成交供应商未经采购单位许可，在规定时间内未到采购单位处与采购单位签订合同，则视为拒签合同。</w:t>
      </w:r>
    </w:p>
    <w:p w14:paraId="7EB33F9C">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4.2 </w:t>
      </w:r>
      <w:r>
        <w:rPr>
          <w:rFonts w:hint="eastAsia" w:ascii="宋体" w:hAnsi="宋体"/>
          <w:color w:val="auto"/>
          <w:sz w:val="22"/>
          <w:highlight w:val="none"/>
        </w:rPr>
        <w:t>竞争性磋商文件、成交供应商的响应文件及投标修改文件、评标过程中有关澄清文件及经双方签字的询标纪要（承诺）和成交通知书均作为合同附件。</w:t>
      </w:r>
    </w:p>
    <w:p w14:paraId="459F104B">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4.3 </w:t>
      </w:r>
      <w:r>
        <w:rPr>
          <w:rFonts w:hint="eastAsia" w:ascii="宋体" w:hAnsi="宋体"/>
          <w:color w:val="auto"/>
          <w:sz w:val="22"/>
          <w:highlight w:val="none"/>
        </w:rPr>
        <w:t>拒签合同的责任</w:t>
      </w:r>
    </w:p>
    <w:p w14:paraId="259DFDE3">
      <w:pPr>
        <w:pStyle w:val="17"/>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成交供应商在规定时间内（</w:t>
      </w:r>
      <w:r>
        <w:rPr>
          <w:rFonts w:hAnsi="宋体"/>
          <w:bCs/>
          <w:color w:val="auto"/>
          <w:sz w:val="22"/>
          <w:highlight w:val="none"/>
        </w:rPr>
        <w:t>30</w:t>
      </w:r>
      <w:r>
        <w:rPr>
          <w:rFonts w:hint="eastAsia" w:hAnsi="宋体"/>
          <w:bCs/>
          <w:color w:val="auto"/>
          <w:sz w:val="22"/>
          <w:highlight w:val="none"/>
        </w:rPr>
        <w:t>日历天）借故否认已经承诺的条件、拒签合同，以违约处理，并赔偿采购单位由此造成的直接经济损失；采购单位重新组织采购的，所需费用由原成交供应商承担。</w:t>
      </w:r>
    </w:p>
    <w:p w14:paraId="61DCFBE8">
      <w:pPr>
        <w:pStyle w:val="17"/>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5</w:t>
      </w:r>
      <w:r>
        <w:rPr>
          <w:rFonts w:hint="eastAsia" w:hAnsi="宋体"/>
          <w:bCs/>
          <w:color w:val="auto"/>
          <w:sz w:val="22"/>
          <w:highlight w:val="none"/>
        </w:rPr>
        <w:t>、履约保证金</w:t>
      </w:r>
    </w:p>
    <w:p w14:paraId="374E5A11">
      <w:pPr>
        <w:adjustRightInd w:val="0"/>
        <w:spacing w:line="400" w:lineRule="exact"/>
        <w:ind w:firstLine="450"/>
        <w:rPr>
          <w:rFonts w:ascii="宋体" w:hAnsi="宋体" w:cs="Arial"/>
          <w:bCs/>
          <w:color w:val="auto"/>
          <w:sz w:val="22"/>
          <w:szCs w:val="20"/>
          <w:highlight w:val="none"/>
        </w:rPr>
      </w:pPr>
      <w:r>
        <w:rPr>
          <w:rFonts w:hint="eastAsia"/>
          <w:color w:val="auto"/>
          <w:highlight w:val="none"/>
          <w:lang w:eastAsia="zh-CN"/>
        </w:rPr>
        <w:t>合同总价的1％作为履约保证金，签订合同后5个工作日内由成交人交入采购人帐户（履约保证金可以以银行转账、由银行或保险公司出具的保函保单等形式），待项目全部内容验收合格后的7个工作日内由采购人退还成交人。</w:t>
      </w:r>
    </w:p>
    <w:p w14:paraId="316C9BD4">
      <w:pPr>
        <w:adjustRightInd w:val="0"/>
        <w:spacing w:line="400" w:lineRule="exact"/>
        <w:ind w:firstLine="450"/>
        <w:rPr>
          <w:rFonts w:ascii="宋体" w:hAnsi="宋体" w:cs="Arial"/>
          <w:bCs/>
          <w:color w:val="auto"/>
          <w:sz w:val="22"/>
          <w:szCs w:val="20"/>
          <w:highlight w:val="none"/>
        </w:rPr>
      </w:pPr>
      <w:r>
        <w:rPr>
          <w:rFonts w:ascii="宋体" w:hAnsi="宋体" w:cs="Arial"/>
          <w:bCs/>
          <w:color w:val="auto"/>
          <w:sz w:val="22"/>
          <w:szCs w:val="20"/>
          <w:highlight w:val="none"/>
        </w:rPr>
        <w:t>6</w:t>
      </w:r>
      <w:r>
        <w:rPr>
          <w:rFonts w:hint="eastAsia" w:ascii="宋体" w:hAnsi="宋体" w:cs="Arial"/>
          <w:bCs/>
          <w:color w:val="auto"/>
          <w:sz w:val="22"/>
          <w:szCs w:val="20"/>
          <w:highlight w:val="none"/>
        </w:rPr>
        <w:t>、招标代理服务咨询费</w:t>
      </w:r>
    </w:p>
    <w:p w14:paraId="67E66562">
      <w:pPr>
        <w:adjustRightInd w:val="0"/>
        <w:snapToGrid w:val="0"/>
        <w:spacing w:line="400" w:lineRule="exact"/>
        <w:jc w:val="left"/>
        <w:rPr>
          <w:rFonts w:ascii="宋体" w:hAnsi="宋体"/>
          <w:color w:val="auto"/>
          <w:sz w:val="22"/>
          <w:highlight w:val="none"/>
        </w:rPr>
      </w:pPr>
      <w:r>
        <w:rPr>
          <w:rFonts w:hint="eastAsia"/>
          <w:color w:val="auto"/>
          <w:highlight w:val="none"/>
        </w:rPr>
        <w:t>招标代理费向中标（成交）供应商收取，服务费以中标（成交）价计算，按照</w:t>
      </w:r>
      <w:r>
        <w:rPr>
          <w:rFonts w:hint="eastAsia" w:ascii="宋体"/>
          <w:color w:val="auto"/>
          <w:sz w:val="22"/>
          <w:highlight w:val="none"/>
        </w:rPr>
        <w:t>《国家计委关于印发</w:t>
      </w:r>
      <w:r>
        <w:rPr>
          <w:rFonts w:ascii="宋体"/>
          <w:color w:val="auto"/>
          <w:sz w:val="22"/>
          <w:highlight w:val="none"/>
        </w:rPr>
        <w:t>&lt;</w:t>
      </w:r>
      <w:r>
        <w:rPr>
          <w:rFonts w:hint="eastAsia" w:ascii="宋体"/>
          <w:color w:val="auto"/>
          <w:sz w:val="22"/>
          <w:highlight w:val="none"/>
        </w:rPr>
        <w:t>招标代理服务收费管理暂行办法</w:t>
      </w:r>
      <w:r>
        <w:rPr>
          <w:rFonts w:ascii="宋体"/>
          <w:color w:val="auto"/>
          <w:sz w:val="22"/>
          <w:highlight w:val="none"/>
        </w:rPr>
        <w:t>&gt;</w:t>
      </w:r>
      <w:r>
        <w:rPr>
          <w:rFonts w:hint="eastAsia" w:ascii="宋体"/>
          <w:color w:val="auto"/>
          <w:sz w:val="22"/>
          <w:highlight w:val="none"/>
        </w:rPr>
        <w:t>的通知》（计价格</w:t>
      </w:r>
      <w:r>
        <w:rPr>
          <w:rFonts w:ascii="宋体"/>
          <w:color w:val="auto"/>
          <w:sz w:val="22"/>
          <w:highlight w:val="none"/>
        </w:rPr>
        <w:t>[2002]1980</w:t>
      </w:r>
      <w:r>
        <w:rPr>
          <w:rFonts w:hint="eastAsia" w:ascii="宋体"/>
          <w:color w:val="auto"/>
          <w:sz w:val="22"/>
          <w:highlight w:val="none"/>
        </w:rPr>
        <w:t>号）服务类标准收取。</w:t>
      </w:r>
      <w:r>
        <w:rPr>
          <w:rFonts w:hint="eastAsia" w:ascii="宋体" w:hAnsi="宋体" w:cs="宋体"/>
          <w:color w:val="auto"/>
          <w:sz w:val="22"/>
          <w:highlight w:val="none"/>
        </w:rPr>
        <w:t>招标代理服务咨询费汇入以下帐号：</w:t>
      </w:r>
    </w:p>
    <w:p w14:paraId="03488964">
      <w:pPr>
        <w:autoSpaceDE w:val="0"/>
        <w:autoSpaceDN w:val="0"/>
        <w:adjustRightInd w:val="0"/>
        <w:snapToGrid w:val="0"/>
        <w:spacing w:line="360" w:lineRule="auto"/>
        <w:ind w:firstLine="462" w:firstLineChars="210"/>
        <w:textAlignment w:val="bottom"/>
        <w:rPr>
          <w:rFonts w:ascii="宋体"/>
          <w:color w:val="auto"/>
          <w:sz w:val="22"/>
          <w:highlight w:val="none"/>
        </w:rPr>
      </w:pPr>
      <w:r>
        <w:rPr>
          <w:rFonts w:hint="eastAsia" w:ascii="宋体" w:hAnsi="宋体"/>
          <w:color w:val="auto"/>
          <w:sz w:val="22"/>
          <w:highlight w:val="none"/>
        </w:rPr>
        <w:t>招标代理服务咨询费汇入以下帐号：</w:t>
      </w:r>
    </w:p>
    <w:p w14:paraId="0592DC7C">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开户银行：浙江泰顺农村商业银行股份有限公司罗阳支行 ；</w:t>
      </w:r>
    </w:p>
    <w:p w14:paraId="1A7C70F6">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开户名称：温州久恒工程项目管理有限公司；</w:t>
      </w:r>
    </w:p>
    <w:p w14:paraId="2259D338">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开户帐号：201000340618773。</w:t>
      </w:r>
    </w:p>
    <w:p w14:paraId="17F74A4D">
      <w:pPr>
        <w:snapToGrid w:val="0"/>
        <w:spacing w:line="400" w:lineRule="exact"/>
        <w:jc w:val="left"/>
        <w:textAlignment w:val="baseline"/>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七、投诉质疑</w:t>
      </w:r>
    </w:p>
    <w:p w14:paraId="4DBA02CA">
      <w:pPr>
        <w:snapToGrid w:val="0"/>
        <w:spacing w:line="400" w:lineRule="exact"/>
        <w:ind w:firstLine="440"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E5ED312">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1.供应商询问</w:t>
      </w:r>
    </w:p>
    <w:p w14:paraId="2282753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ACF7E4F">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2.供应商质疑</w:t>
      </w:r>
    </w:p>
    <w:p w14:paraId="0A97516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eastAsia="宋体" w:cs="宋体"/>
          <w:color w:val="auto"/>
          <w:kern w:val="0"/>
          <w:sz w:val="22"/>
          <w:szCs w:val="22"/>
          <w:highlight w:val="none"/>
          <w:lang w:val="zh-CN"/>
        </w:rPr>
        <w:t>否则，不予受理：</w:t>
      </w:r>
    </w:p>
    <w:p w14:paraId="30496545">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（1）供应商如认为招标公告信息使自身的合法权益受到损害的，应于自招标公告发布之日起七个工作内以书面形式向招标代理机构提出质疑；</w:t>
      </w:r>
    </w:p>
    <w:p w14:paraId="59D5A939">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w:t>
      </w:r>
      <w:r>
        <w:rPr>
          <w:rFonts w:hint="eastAsia" w:ascii="宋体" w:hAnsi="宋体" w:eastAsia="宋体" w:cs="宋体"/>
          <w:color w:val="auto"/>
          <w:kern w:val="0"/>
          <w:sz w:val="22"/>
          <w:szCs w:val="22"/>
          <w:highlight w:val="none"/>
          <w:lang w:val="zh-CN"/>
        </w:rPr>
        <w:t>对竞争性磋商文件提出质疑的，质疑期限为供应商获得竞争性磋商文件之日或者竞争性磋商文件公告期限届满之日起计算。</w:t>
      </w:r>
    </w:p>
    <w:p w14:paraId="1DF5D52C">
      <w:pPr>
        <w:spacing w:line="400" w:lineRule="exact"/>
        <w:jc w:val="left"/>
        <w:textAlignment w:val="baseline"/>
        <w:rPr>
          <w:rFonts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 xml:space="preserve">   （3）</w:t>
      </w:r>
      <w:r>
        <w:rPr>
          <w:rFonts w:hint="eastAsia" w:ascii="宋体" w:hAnsi="宋体" w:eastAsia="宋体" w:cs="宋体"/>
          <w:color w:val="auto"/>
          <w:kern w:val="0"/>
          <w:sz w:val="22"/>
          <w:szCs w:val="22"/>
          <w:highlight w:val="none"/>
          <w:lang w:val="zh-CN"/>
        </w:rPr>
        <w:t>对采购过程提出质疑的，质疑期限为各采购程序环节结束之日起计算。</w:t>
      </w:r>
    </w:p>
    <w:p w14:paraId="49D9B2C5">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   （4）对采购结果提出质疑的，质疑期限自采购结果公告（包括公示、预公告、结果变更公告等）期限届满之日起计算。</w:t>
      </w:r>
    </w:p>
    <w:p w14:paraId="5E2AAC6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2.2供应商提交的质疑书需一式三份，由法定代表人签字（或盖章）并加盖单位公章。质疑书至少应包括下列主要内容：</w:t>
      </w:r>
    </w:p>
    <w:p w14:paraId="1FEE65DF">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（1）供应商的名称、地址、邮政编码、联系人、联系电话；</w:t>
      </w:r>
    </w:p>
    <w:p w14:paraId="5341E19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（2）质疑项目的名称、编号；</w:t>
      </w:r>
    </w:p>
    <w:p w14:paraId="488E80ED">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（3）具体、明确的质疑事项和与质疑事项相关的请求；</w:t>
      </w:r>
    </w:p>
    <w:p w14:paraId="25451102">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（4）事实依据；</w:t>
      </w:r>
    </w:p>
    <w:p w14:paraId="5A3B40C8">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（5）必要的法律依据；</w:t>
      </w:r>
    </w:p>
    <w:p w14:paraId="281F57B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（6）提出质疑的日期。</w:t>
      </w:r>
    </w:p>
    <w:p w14:paraId="5C4403F0">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供应商为自然人的，应当由本人签字；供应商为法人或其他组织的，应当由法定代表人、主要负责人，或者其授权代表签字或者盖章，并加盖公章。</w:t>
      </w:r>
    </w:p>
    <w:p w14:paraId="44946CC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2.3采购人、采购代理机构应当在收到供应商的书面质疑后七个工作日内作出答复，并以书面形式通知质疑供应商和其他有关供应商，但答复的内容不得涉及商业秘密。</w:t>
      </w:r>
    </w:p>
    <w:p w14:paraId="58F52689">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3.供应商投诉</w:t>
      </w:r>
    </w:p>
    <w:p w14:paraId="52A4FD6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3.1供应商投诉应当提交投诉书和必要的证明材料。供应商投诉的事项不得超出已质疑事项的范围（基于质疑答复内容提出的投诉事项除外）。</w:t>
      </w:r>
    </w:p>
    <w:p w14:paraId="1AE671AB">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B800A55">
      <w:pPr>
        <w:spacing w:line="400" w:lineRule="exact"/>
        <w:ind w:firstLine="420" w:firstLineChars="200"/>
        <w:rPr>
          <w:rFonts w:ascii="宋体" w:hAnsi="宋体" w:eastAsia="宋体" w:cs="宋体"/>
          <w:color w:val="auto"/>
          <w:sz w:val="22"/>
          <w:szCs w:val="22"/>
          <w:highlight w:val="none"/>
        </w:rPr>
      </w:pPr>
      <w:r>
        <w:rPr>
          <w:rFonts w:hint="eastAsia" w:ascii="宋体" w:hAnsi="宋体" w:eastAsia="宋体" w:cs="Times New Roman"/>
          <w:color w:val="auto"/>
          <w:szCs w:val="20"/>
          <w:highlight w:val="none"/>
        </w:rPr>
        <w:t>3.3</w:t>
      </w:r>
      <w:r>
        <w:rPr>
          <w:rFonts w:hint="eastAsia" w:ascii="宋体" w:hAns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15EB13">
      <w:pPr>
        <w:spacing w:line="400" w:lineRule="exact"/>
        <w:ind w:firstLine="495" w:firstLineChars="225"/>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3.4质疑函范本、投诉书范本请到浙江政府采购网下载专区下载。</w:t>
      </w:r>
    </w:p>
    <w:p w14:paraId="59865CCA">
      <w:pPr>
        <w:pStyle w:val="3"/>
        <w:ind w:firstLine="400"/>
        <w:rPr>
          <w:color w:val="auto"/>
          <w:highlight w:val="none"/>
        </w:rPr>
      </w:pPr>
    </w:p>
    <w:p w14:paraId="2F065D61">
      <w:pPr>
        <w:pStyle w:val="3"/>
        <w:ind w:firstLine="400"/>
        <w:rPr>
          <w:color w:val="auto"/>
          <w:highlight w:val="none"/>
        </w:rPr>
      </w:pPr>
      <w:r>
        <w:rPr>
          <w:rFonts w:hint="eastAsia"/>
          <w:color w:val="auto"/>
          <w:highlight w:val="none"/>
        </w:rPr>
        <w:t>质疑函范本：</w:t>
      </w:r>
    </w:p>
    <w:p w14:paraId="7DC9C57B">
      <w:pPr>
        <w:pStyle w:val="3"/>
        <w:ind w:firstLine="400"/>
        <w:rPr>
          <w:color w:val="auto"/>
          <w:highlight w:val="none"/>
        </w:rPr>
      </w:pPr>
      <w:r>
        <w:rPr>
          <w:color w:val="auto"/>
          <w:highlight w:val="none"/>
        </w:rPr>
        <w:drawing>
          <wp:inline distT="0" distB="0" distL="114300" distR="114300">
            <wp:extent cx="922020" cy="82677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a:stretch>
                      <a:fillRect/>
                    </a:stretch>
                  </pic:blipFill>
                  <pic:spPr>
                    <a:xfrm>
                      <a:off x="0" y="0"/>
                      <a:ext cx="922020" cy="826770"/>
                    </a:xfrm>
                    <a:prstGeom prst="rect">
                      <a:avLst/>
                    </a:prstGeom>
                    <a:noFill/>
                    <a:ln>
                      <a:noFill/>
                    </a:ln>
                  </pic:spPr>
                </pic:pic>
              </a:graphicData>
            </a:graphic>
          </wp:inline>
        </w:drawing>
      </w:r>
    </w:p>
    <w:p w14:paraId="5E17F7B7">
      <w:pPr>
        <w:pStyle w:val="3"/>
        <w:ind w:firstLine="400"/>
        <w:rPr>
          <w:color w:val="auto"/>
          <w:highlight w:val="none"/>
        </w:rPr>
      </w:pPr>
      <w:r>
        <w:rPr>
          <w:rFonts w:hint="eastAsia"/>
          <w:color w:val="auto"/>
          <w:highlight w:val="none"/>
        </w:rPr>
        <w:t>投诉书范本：</w:t>
      </w:r>
      <w:r>
        <w:rPr>
          <w:rFonts w:hint="eastAsia"/>
          <w:color w:val="auto"/>
          <w:highlight w:val="none"/>
        </w:rPr>
        <w:object>
          <v:shape id="_x0000_i1025" o:spt="75" type="#_x0000_t75" style="height:65.25pt;width:72.75pt;" o:ole="t" filled="f" o:preferrelative="t" stroked="f" coordsize="21600,21600">
            <v:path/>
            <v:fill on="f" focussize="0,0"/>
            <v:stroke on="f" joinstyle="miter"/>
            <v:imagedata r:id="rId18" o:title=""/>
            <o:lock v:ext="edit" aspectratio="t"/>
            <w10:wrap type="none"/>
            <w10:anchorlock/>
          </v:shape>
          <o:OLEObject Type="Embed" ProgID="Word.Document.8" ShapeID="_x0000_i1025" DrawAspect="Icon" ObjectID="_1468075725" r:id="rId17">
            <o:LockedField>false</o:LockedField>
          </o:OLEObject>
        </w:object>
      </w:r>
    </w:p>
    <w:p w14:paraId="216AF800">
      <w:pPr>
        <w:tabs>
          <w:tab w:val="left" w:pos="1080"/>
        </w:tabs>
        <w:autoSpaceDE w:val="0"/>
        <w:autoSpaceDN w:val="0"/>
        <w:adjustRightInd w:val="0"/>
        <w:spacing w:line="500" w:lineRule="atLeast"/>
        <w:jc w:val="center"/>
        <w:textAlignment w:val="baseline"/>
        <w:rPr>
          <w:rFonts w:ascii="宋体"/>
          <w:b/>
          <w:bCs/>
          <w:color w:val="auto"/>
          <w:sz w:val="36"/>
          <w:szCs w:val="36"/>
          <w:highlight w:val="none"/>
          <w:lang w:val="zh-CN"/>
        </w:rPr>
      </w:pPr>
    </w:p>
    <w:p w14:paraId="790B3AAE">
      <w:pPr>
        <w:rPr>
          <w:rFonts w:ascii="宋体"/>
          <w:b/>
          <w:bCs/>
          <w:color w:val="auto"/>
          <w:sz w:val="36"/>
          <w:szCs w:val="36"/>
          <w:highlight w:val="none"/>
          <w:lang w:val="zh-CN"/>
        </w:rPr>
      </w:pPr>
    </w:p>
    <w:p w14:paraId="2B566C9C">
      <w:pPr>
        <w:pStyle w:val="2"/>
        <w:rPr>
          <w:rFonts w:ascii="宋体"/>
          <w:b/>
          <w:bCs/>
          <w:color w:val="auto"/>
          <w:sz w:val="36"/>
          <w:szCs w:val="36"/>
          <w:highlight w:val="none"/>
          <w:lang w:val="zh-CN"/>
        </w:rPr>
      </w:pPr>
    </w:p>
    <w:p w14:paraId="78405746">
      <w:pPr>
        <w:rPr>
          <w:rFonts w:ascii="宋体"/>
          <w:b/>
          <w:bCs/>
          <w:color w:val="auto"/>
          <w:sz w:val="36"/>
          <w:szCs w:val="36"/>
          <w:highlight w:val="none"/>
          <w:lang w:val="zh-CN"/>
        </w:rPr>
      </w:pPr>
    </w:p>
    <w:p w14:paraId="7748E455">
      <w:pPr>
        <w:pStyle w:val="2"/>
        <w:rPr>
          <w:rFonts w:ascii="宋体"/>
          <w:b/>
          <w:bCs/>
          <w:color w:val="auto"/>
          <w:sz w:val="36"/>
          <w:szCs w:val="36"/>
          <w:highlight w:val="none"/>
          <w:lang w:val="zh-CN"/>
        </w:rPr>
      </w:pPr>
    </w:p>
    <w:p w14:paraId="1C72EDEA">
      <w:pPr>
        <w:rPr>
          <w:rFonts w:ascii="宋体"/>
          <w:b/>
          <w:bCs/>
          <w:color w:val="auto"/>
          <w:sz w:val="36"/>
          <w:szCs w:val="36"/>
          <w:highlight w:val="none"/>
          <w:lang w:val="zh-CN"/>
        </w:rPr>
      </w:pPr>
    </w:p>
    <w:p w14:paraId="74C641C4">
      <w:pPr>
        <w:pStyle w:val="2"/>
        <w:rPr>
          <w:rFonts w:ascii="宋体"/>
          <w:b/>
          <w:bCs/>
          <w:color w:val="auto"/>
          <w:sz w:val="36"/>
          <w:szCs w:val="36"/>
          <w:highlight w:val="none"/>
          <w:lang w:val="zh-CN"/>
        </w:rPr>
      </w:pPr>
    </w:p>
    <w:p w14:paraId="7DC6C297">
      <w:pPr>
        <w:rPr>
          <w:rFonts w:ascii="宋体"/>
          <w:b/>
          <w:bCs/>
          <w:color w:val="auto"/>
          <w:sz w:val="36"/>
          <w:szCs w:val="36"/>
          <w:highlight w:val="none"/>
          <w:lang w:val="zh-CN"/>
        </w:rPr>
      </w:pPr>
    </w:p>
    <w:p w14:paraId="76F9FB24">
      <w:pPr>
        <w:pStyle w:val="2"/>
        <w:rPr>
          <w:rFonts w:ascii="宋体"/>
          <w:b/>
          <w:bCs/>
          <w:color w:val="auto"/>
          <w:sz w:val="36"/>
          <w:szCs w:val="36"/>
          <w:highlight w:val="none"/>
          <w:lang w:val="zh-CN"/>
        </w:rPr>
      </w:pPr>
    </w:p>
    <w:p w14:paraId="015C4D6D">
      <w:pPr>
        <w:rPr>
          <w:rFonts w:ascii="宋体"/>
          <w:b/>
          <w:bCs/>
          <w:color w:val="auto"/>
          <w:sz w:val="36"/>
          <w:szCs w:val="36"/>
          <w:highlight w:val="none"/>
          <w:lang w:val="zh-CN"/>
        </w:rPr>
      </w:pPr>
    </w:p>
    <w:p w14:paraId="6E24032F">
      <w:pPr>
        <w:pStyle w:val="5"/>
        <w:rPr>
          <w:rFonts w:ascii="宋体"/>
          <w:b/>
          <w:bCs/>
          <w:color w:val="auto"/>
          <w:sz w:val="36"/>
          <w:szCs w:val="36"/>
          <w:highlight w:val="none"/>
          <w:lang w:val="zh-CN"/>
        </w:rPr>
      </w:pPr>
    </w:p>
    <w:p w14:paraId="5767D81F">
      <w:pPr>
        <w:rPr>
          <w:rFonts w:ascii="宋体"/>
          <w:b/>
          <w:bCs/>
          <w:color w:val="auto"/>
          <w:sz w:val="36"/>
          <w:szCs w:val="36"/>
          <w:highlight w:val="none"/>
          <w:lang w:val="zh-CN"/>
        </w:rPr>
      </w:pPr>
    </w:p>
    <w:p w14:paraId="0A3700AC">
      <w:pPr>
        <w:pStyle w:val="5"/>
        <w:rPr>
          <w:rFonts w:ascii="宋体"/>
          <w:b/>
          <w:bCs/>
          <w:color w:val="auto"/>
          <w:sz w:val="36"/>
          <w:szCs w:val="36"/>
          <w:highlight w:val="none"/>
          <w:lang w:val="zh-CN"/>
        </w:rPr>
      </w:pPr>
    </w:p>
    <w:p w14:paraId="1925516E">
      <w:pPr>
        <w:tabs>
          <w:tab w:val="left" w:pos="1080"/>
        </w:tabs>
        <w:autoSpaceDE w:val="0"/>
        <w:autoSpaceDN w:val="0"/>
        <w:adjustRightInd w:val="0"/>
        <w:spacing w:line="500" w:lineRule="atLeast"/>
        <w:jc w:val="center"/>
        <w:textAlignment w:val="baseline"/>
        <w:outlineLvl w:val="0"/>
        <w:rPr>
          <w:rFonts w:ascii="宋体" w:eastAsia="宋体"/>
          <w:bCs/>
          <w:color w:val="auto"/>
          <w:sz w:val="36"/>
          <w:szCs w:val="36"/>
          <w:highlight w:val="none"/>
          <w:lang w:val="zh-CN"/>
        </w:rPr>
      </w:pPr>
      <w:bookmarkStart w:id="46" w:name="_Toc241404205"/>
      <w:bookmarkStart w:id="47" w:name="_Toc245722284"/>
      <w:bookmarkStart w:id="48" w:name="_Toc221423622"/>
      <w:bookmarkStart w:id="49" w:name="_Toc222114882"/>
      <w:bookmarkStart w:id="50" w:name="_Toc262049421"/>
      <w:bookmarkStart w:id="51" w:name="_Toc249758715"/>
      <w:bookmarkStart w:id="52" w:name="_Toc246261268"/>
      <w:bookmarkStart w:id="53" w:name="_Toc434501364"/>
      <w:bookmarkStart w:id="54" w:name="_Toc221374629"/>
      <w:bookmarkStart w:id="55" w:name="_Toc221356954"/>
      <w:bookmarkStart w:id="56" w:name="_Toc239145357"/>
      <w:bookmarkStart w:id="57" w:name="_Toc245191317"/>
      <w:bookmarkStart w:id="58" w:name="_Toc221356890"/>
      <w:bookmarkStart w:id="59" w:name="_Toc249758867"/>
      <w:bookmarkStart w:id="60" w:name="_Toc262105506"/>
      <w:bookmarkStart w:id="61" w:name="_Toc223716001"/>
      <w:r>
        <w:rPr>
          <w:rFonts w:hint="eastAsia" w:ascii="宋体" w:eastAsia="宋体"/>
          <w:bCs/>
          <w:color w:val="auto"/>
          <w:sz w:val="36"/>
          <w:szCs w:val="36"/>
          <w:highlight w:val="none"/>
          <w:lang w:val="zh-CN"/>
        </w:rPr>
        <w:t>第四部分 政府采购政策功能相关说明</w:t>
      </w:r>
    </w:p>
    <w:p w14:paraId="36B08277">
      <w:pPr>
        <w:autoSpaceDE w:val="0"/>
        <w:autoSpaceDN w:val="0"/>
        <w:adjustRightInd w:val="0"/>
        <w:snapToGrid w:val="0"/>
        <w:spacing w:line="400" w:lineRule="exact"/>
        <w:jc w:val="center"/>
        <w:rPr>
          <w:rFonts w:ascii="宋体" w:eastAsia="宋体" w:cs="??_GB2312"/>
          <w:color w:val="auto"/>
          <w:sz w:val="32"/>
          <w:szCs w:val="32"/>
          <w:highlight w:val="none"/>
          <w:lang w:val="zh-CN"/>
        </w:rPr>
      </w:pPr>
    </w:p>
    <w:p w14:paraId="150B009A">
      <w:pPr>
        <w:jc w:val="left"/>
        <w:rPr>
          <w:rFonts w:ascii="宋体" w:eastAsia="宋体" w:cs="宋体"/>
          <w:color w:val="auto"/>
          <w:sz w:val="22"/>
          <w:szCs w:val="22"/>
          <w:highlight w:val="none"/>
        </w:rPr>
      </w:pPr>
    </w:p>
    <w:p w14:paraId="0A31CFEB">
      <w:pPr>
        <w:outlineLvl w:val="1"/>
        <w:rPr>
          <w:rFonts w:eastAsia="宋体" w:cs="Times New Roman"/>
          <w:color w:val="auto"/>
          <w:kern w:val="0"/>
          <w:sz w:val="22"/>
          <w:szCs w:val="22"/>
          <w:highlight w:val="none"/>
        </w:rPr>
      </w:pPr>
      <w:r>
        <w:rPr>
          <w:rFonts w:hint="eastAsia" w:eastAsia="宋体" w:cs="Times New Roman"/>
          <w:color w:val="auto"/>
          <w:kern w:val="0"/>
          <w:sz w:val="22"/>
          <w:szCs w:val="22"/>
          <w:highlight w:val="none"/>
        </w:rPr>
        <w:t>一、小、微企业（含监狱企业、残疾人福利性单位）扶持政策说明</w:t>
      </w:r>
    </w:p>
    <w:p w14:paraId="3195627F">
      <w:pPr>
        <w:spacing w:line="440" w:lineRule="atLeast"/>
        <w:rPr>
          <w:rFonts w:eastAsia="宋体" w:cs="Times New Roman"/>
          <w:color w:val="auto"/>
          <w:kern w:val="0"/>
          <w:sz w:val="22"/>
          <w:szCs w:val="22"/>
          <w:highlight w:val="none"/>
        </w:rPr>
      </w:pPr>
      <w:r>
        <w:rPr>
          <w:rFonts w:hint="eastAsia" w:eastAsia="宋体" w:cs="Times New Roman"/>
          <w:color w:val="auto"/>
          <w:kern w:val="0"/>
          <w:sz w:val="22"/>
          <w:szCs w:val="22"/>
          <w:highlight w:val="none"/>
        </w:rPr>
        <w:t>1、文件依据</w:t>
      </w:r>
    </w:p>
    <w:p w14:paraId="5A733978">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（1）关于印发《</w:t>
      </w:r>
      <w:r>
        <w:rPr>
          <w:rFonts w:hint="eastAsia" w:eastAsia="宋体" w:cs="Times New Roman"/>
          <w:color w:val="auto"/>
          <w:kern w:val="0"/>
          <w:sz w:val="22"/>
          <w:szCs w:val="20"/>
          <w:highlight w:val="none"/>
        </w:rPr>
        <w:t>政府采购促进中小企业发展管理办法</w:t>
      </w:r>
      <w:r>
        <w:rPr>
          <w:rFonts w:eastAsia="宋体" w:cs="Times New Roman"/>
          <w:color w:val="auto"/>
          <w:kern w:val="0"/>
          <w:sz w:val="22"/>
          <w:szCs w:val="20"/>
          <w:highlight w:val="none"/>
        </w:rPr>
        <w:t>》的通知（</w:t>
      </w:r>
      <w:r>
        <w:rPr>
          <w:rFonts w:hint="eastAsia" w:eastAsia="宋体" w:cs="Times New Roman"/>
          <w:color w:val="auto"/>
          <w:kern w:val="0"/>
          <w:sz w:val="22"/>
          <w:szCs w:val="20"/>
          <w:highlight w:val="none"/>
        </w:rPr>
        <w:t>财库〔2020〕46号</w:t>
      </w:r>
      <w:r>
        <w:rPr>
          <w:rFonts w:eastAsia="宋体" w:cs="Times New Roman"/>
          <w:color w:val="auto"/>
          <w:kern w:val="0"/>
          <w:sz w:val="22"/>
          <w:szCs w:val="20"/>
          <w:highlight w:val="none"/>
        </w:rPr>
        <w:t>）</w:t>
      </w:r>
    </w:p>
    <w:p w14:paraId="2385634C">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2</w:t>
      </w:r>
      <w:r>
        <w:rPr>
          <w:rFonts w:eastAsia="宋体" w:cs="Times New Roman"/>
          <w:color w:val="auto"/>
          <w:kern w:val="0"/>
          <w:sz w:val="22"/>
          <w:szCs w:val="20"/>
          <w:highlight w:val="none"/>
        </w:rPr>
        <w:t>）浙江省财政厅、浙江省经济和信息化委员会《关于简化中小企业类别确认流程有关事项的通知》(浙财采监[2018]2号)</w:t>
      </w:r>
    </w:p>
    <w:p w14:paraId="69363813">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3</w:t>
      </w:r>
      <w:r>
        <w:rPr>
          <w:rFonts w:eastAsia="宋体" w:cs="Times New Roman"/>
          <w:color w:val="auto"/>
          <w:kern w:val="0"/>
          <w:sz w:val="22"/>
          <w:szCs w:val="20"/>
          <w:highlight w:val="none"/>
        </w:rPr>
        <w:t>）浙江省省财政厅《关于开展政府采购供应商网上注册登记和诚信管理工作的通知》（浙财采监〔2010〕8号)</w:t>
      </w:r>
    </w:p>
    <w:p w14:paraId="5CC77D0D">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4</w:t>
      </w:r>
      <w:r>
        <w:rPr>
          <w:rFonts w:eastAsia="宋体" w:cs="Times New Roman"/>
          <w:color w:val="auto"/>
          <w:kern w:val="0"/>
          <w:sz w:val="22"/>
          <w:szCs w:val="20"/>
          <w:highlight w:val="none"/>
        </w:rPr>
        <w:t>）《工业和信息化部、国家统计局、国家发展和改革委员会、财政部关于印发中小企业划型标准规定的通知》（工信部联企业[2011]300号）</w:t>
      </w:r>
    </w:p>
    <w:p w14:paraId="5487BF55">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5</w:t>
      </w:r>
      <w:r>
        <w:rPr>
          <w:rFonts w:eastAsia="宋体" w:cs="Times New Roman"/>
          <w:color w:val="auto"/>
          <w:kern w:val="0"/>
          <w:sz w:val="22"/>
          <w:szCs w:val="20"/>
          <w:highlight w:val="none"/>
        </w:rPr>
        <w:t>）财政部、司法部《关于政府采购支持监狱企业发展有关问题的通知》（财库〔2014〕68号）</w:t>
      </w:r>
    </w:p>
    <w:p w14:paraId="52A8A1B1">
      <w:pPr>
        <w:spacing w:line="440" w:lineRule="atLeast"/>
        <w:rPr>
          <w:rFonts w:ascii="宋体" w:hAnsi="宋体" w:eastAsia="宋体" w:cs="宋体"/>
          <w:color w:val="auto"/>
          <w:kern w:val="0"/>
          <w:sz w:val="22"/>
          <w:szCs w:val="22"/>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6</w:t>
      </w:r>
      <w:r>
        <w:rPr>
          <w:rFonts w:eastAsia="宋体" w:cs="Times New Roman"/>
          <w:color w:val="auto"/>
          <w:kern w:val="0"/>
          <w:sz w:val="22"/>
          <w:szCs w:val="20"/>
          <w:highlight w:val="none"/>
        </w:rPr>
        <w:t>）《财政部 民政部 中国残疾人联合会关于促进残疾人就业政府采购政策的通知》（财库〔2017〕 141号）</w:t>
      </w:r>
    </w:p>
    <w:p w14:paraId="333B9C8D">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2、享受小微企业价格折扣应具备的条件与价格折扣比例</w:t>
      </w:r>
    </w:p>
    <w:p w14:paraId="719EBC9C">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（1）符合中小企业划分标准；</w:t>
      </w:r>
    </w:p>
    <w:p w14:paraId="6B9D9DF4">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（2）提供本企业制造的货物、承担的工程或者服务，或者提供其他中小企业制造的货物。本项所称货物不包括使用大型企业注册商标的货物。</w:t>
      </w:r>
    </w:p>
    <w:p w14:paraId="7853B7FD">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中小企业划分标准，是指国务院有关部门根据企业从业人员、营业收入、资产总额等指标制定的中小企业划型标准。</w:t>
      </w:r>
    </w:p>
    <w:p w14:paraId="6D6ED786">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小型、微型企业提供中型企业制造的货物的，视同为中型企业。</w:t>
      </w:r>
    </w:p>
    <w:p w14:paraId="0D23FCA1">
      <w:pPr>
        <w:spacing w:line="440" w:lineRule="atLeast"/>
        <w:jc w:val="left"/>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u w:val="single"/>
        </w:rPr>
        <w:t>（3）本项目对小型和微型企业产品的价格给予10%的扣除，用扣除后的价格参与评审。</w:t>
      </w:r>
    </w:p>
    <w:p w14:paraId="5886082C">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single"/>
        </w:rPr>
        <w:t>3、享受小微企业价格折扣应提供以下证明材料</w:t>
      </w:r>
      <w:r>
        <w:rPr>
          <w:rFonts w:hint="eastAsia" w:ascii="宋体" w:hAnsi="宋体" w:eastAsia="宋体" w:cs="宋体"/>
          <w:color w:val="auto"/>
          <w:kern w:val="0"/>
          <w:sz w:val="22"/>
          <w:szCs w:val="22"/>
          <w:highlight w:val="none"/>
        </w:rPr>
        <w:t>：</w:t>
      </w:r>
    </w:p>
    <w:p w14:paraId="23452864">
      <w:pPr>
        <w:spacing w:line="440" w:lineRule="atLeast"/>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（1）《中小企业声明函》（加盖供应商公章，格式见附件）</w:t>
      </w:r>
    </w:p>
    <w:p w14:paraId="1054A6D4">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u w:val="single"/>
        </w:rPr>
        <w:t>享受监狱企业价格折扣应提供以下证明材料（</w:t>
      </w:r>
      <w:r>
        <w:rPr>
          <w:rFonts w:hint="eastAsia" w:eastAsia="宋体" w:cs="Times New Roman"/>
          <w:color w:val="auto"/>
          <w:kern w:val="0"/>
          <w:sz w:val="22"/>
          <w:szCs w:val="22"/>
          <w:highlight w:val="none"/>
          <w:u w:val="single"/>
        </w:rPr>
        <w:t>投标文件报价文件标中</w:t>
      </w:r>
      <w:r>
        <w:rPr>
          <w:rFonts w:hint="eastAsia" w:ascii="宋体" w:hAnsi="宋体" w:eastAsia="宋体" w:cs="宋体"/>
          <w:color w:val="auto"/>
          <w:kern w:val="0"/>
          <w:sz w:val="22"/>
          <w:szCs w:val="22"/>
          <w:highlight w:val="none"/>
          <w:u w:val="single"/>
        </w:rPr>
        <w:t>，不提供的不享受价格折扣）</w:t>
      </w:r>
      <w:r>
        <w:rPr>
          <w:rFonts w:hint="eastAsia" w:ascii="宋体" w:hAnsi="宋体" w:eastAsia="宋体" w:cs="宋体"/>
          <w:color w:val="auto"/>
          <w:kern w:val="0"/>
          <w:sz w:val="22"/>
          <w:szCs w:val="22"/>
          <w:highlight w:val="none"/>
        </w:rPr>
        <w:t>：</w:t>
      </w:r>
    </w:p>
    <w:p w14:paraId="4CDB2427">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6978A411">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u w:val="single"/>
        </w:rPr>
        <w:t>享受残疾人福利性单位格折扣应提供以下证明材料（</w:t>
      </w:r>
      <w:r>
        <w:rPr>
          <w:rFonts w:hint="eastAsia" w:eastAsia="宋体" w:cs="Times New Roman"/>
          <w:color w:val="auto"/>
          <w:kern w:val="0"/>
          <w:sz w:val="22"/>
          <w:szCs w:val="22"/>
          <w:highlight w:val="none"/>
          <w:u w:val="single"/>
        </w:rPr>
        <w:t>投标文件报价文件标中</w:t>
      </w:r>
      <w:r>
        <w:rPr>
          <w:rFonts w:hint="eastAsia" w:ascii="宋体" w:hAnsi="宋体" w:eastAsia="宋体" w:cs="宋体"/>
          <w:color w:val="auto"/>
          <w:kern w:val="0"/>
          <w:sz w:val="22"/>
          <w:szCs w:val="22"/>
          <w:highlight w:val="none"/>
          <w:u w:val="single"/>
        </w:rPr>
        <w:t>，不提供的不享受价格折扣）</w:t>
      </w:r>
      <w:r>
        <w:rPr>
          <w:rFonts w:hint="eastAsia" w:ascii="宋体" w:hAnsi="宋体" w:eastAsia="宋体" w:cs="宋体"/>
          <w:color w:val="auto"/>
          <w:kern w:val="0"/>
          <w:sz w:val="22"/>
          <w:szCs w:val="22"/>
          <w:highlight w:val="none"/>
        </w:rPr>
        <w:t>：</w:t>
      </w:r>
    </w:p>
    <w:p w14:paraId="277C5C71">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（1）残疾人福利性单位声明函；</w:t>
      </w:r>
    </w:p>
    <w:p w14:paraId="284F574C">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114378C8">
      <w:pPr>
        <w:rPr>
          <w:rFonts w:ascii="宋体" w:eastAsia="宋体"/>
          <w:color w:val="auto"/>
          <w:sz w:val="22"/>
          <w:highlight w:val="none"/>
        </w:rPr>
      </w:pPr>
    </w:p>
    <w:p w14:paraId="6FBE3F65">
      <w:pPr>
        <w:pStyle w:val="29"/>
        <w:rPr>
          <w:color w:val="auto"/>
          <w:highlight w:val="none"/>
        </w:rPr>
      </w:pPr>
    </w:p>
    <w:p w14:paraId="6E2D2546">
      <w:pPr>
        <w:snapToGrid w:val="0"/>
        <w:spacing w:line="360" w:lineRule="auto"/>
        <w:jc w:val="left"/>
        <w:rPr>
          <w:rFonts w:ascii="宋体" w:hAnsi="宋体" w:eastAsia="宋体" w:cs="宋体"/>
          <w:b/>
          <w:bCs/>
          <w:color w:val="auto"/>
          <w:sz w:val="28"/>
          <w:szCs w:val="28"/>
          <w:highlight w:val="none"/>
        </w:rPr>
      </w:pPr>
    </w:p>
    <w:p w14:paraId="7D327ECB">
      <w:pPr>
        <w:pStyle w:val="2"/>
        <w:rPr>
          <w:rFonts w:ascii="宋体" w:hAnsi="宋体" w:eastAsia="宋体" w:cs="宋体"/>
          <w:b/>
          <w:bCs/>
          <w:color w:val="auto"/>
          <w:sz w:val="28"/>
          <w:szCs w:val="28"/>
          <w:highlight w:val="none"/>
        </w:rPr>
      </w:pPr>
    </w:p>
    <w:p w14:paraId="05F0D9BD">
      <w:pPr>
        <w:rPr>
          <w:rFonts w:ascii="宋体" w:hAnsi="宋体" w:eastAsia="宋体" w:cs="宋体"/>
          <w:b/>
          <w:bCs/>
          <w:color w:val="auto"/>
          <w:sz w:val="28"/>
          <w:szCs w:val="28"/>
          <w:highlight w:val="none"/>
        </w:rPr>
      </w:pPr>
    </w:p>
    <w:p w14:paraId="026B2034">
      <w:pPr>
        <w:pStyle w:val="2"/>
        <w:rPr>
          <w:rFonts w:ascii="宋体" w:hAnsi="宋体" w:eastAsia="宋体" w:cs="宋体"/>
          <w:b/>
          <w:bCs/>
          <w:color w:val="auto"/>
          <w:sz w:val="28"/>
          <w:szCs w:val="28"/>
          <w:highlight w:val="none"/>
        </w:rPr>
      </w:pPr>
    </w:p>
    <w:p w14:paraId="7F595CE5">
      <w:pPr>
        <w:rPr>
          <w:rFonts w:ascii="宋体" w:hAnsi="宋体" w:eastAsia="宋体" w:cs="宋体"/>
          <w:b/>
          <w:bCs/>
          <w:color w:val="auto"/>
          <w:sz w:val="28"/>
          <w:szCs w:val="28"/>
          <w:highlight w:val="none"/>
        </w:rPr>
      </w:pPr>
    </w:p>
    <w:p w14:paraId="1248FBEE">
      <w:pPr>
        <w:pStyle w:val="2"/>
        <w:rPr>
          <w:rFonts w:ascii="宋体" w:hAnsi="宋体" w:eastAsia="宋体" w:cs="宋体"/>
          <w:b/>
          <w:bCs/>
          <w:color w:val="auto"/>
          <w:sz w:val="28"/>
          <w:szCs w:val="28"/>
          <w:highlight w:val="none"/>
        </w:rPr>
      </w:pPr>
    </w:p>
    <w:p w14:paraId="325CB747">
      <w:pPr>
        <w:rPr>
          <w:rFonts w:ascii="宋体" w:hAnsi="宋体" w:eastAsia="宋体" w:cs="宋体"/>
          <w:b/>
          <w:bCs/>
          <w:color w:val="auto"/>
          <w:sz w:val="28"/>
          <w:szCs w:val="28"/>
          <w:highlight w:val="none"/>
        </w:rPr>
      </w:pPr>
    </w:p>
    <w:p w14:paraId="6741374D">
      <w:pPr>
        <w:pStyle w:val="2"/>
        <w:rPr>
          <w:rFonts w:ascii="宋体" w:hAnsi="宋体" w:eastAsia="宋体" w:cs="宋体"/>
          <w:b/>
          <w:bCs/>
          <w:color w:val="auto"/>
          <w:sz w:val="28"/>
          <w:szCs w:val="28"/>
          <w:highlight w:val="none"/>
        </w:rPr>
      </w:pPr>
    </w:p>
    <w:p w14:paraId="0621172B">
      <w:pPr>
        <w:rPr>
          <w:rFonts w:ascii="宋体" w:hAnsi="宋体" w:eastAsia="宋体" w:cs="宋体"/>
          <w:b/>
          <w:bCs/>
          <w:color w:val="auto"/>
          <w:sz w:val="28"/>
          <w:szCs w:val="28"/>
          <w:highlight w:val="none"/>
        </w:rPr>
      </w:pPr>
    </w:p>
    <w:p w14:paraId="15339E51">
      <w:pPr>
        <w:pStyle w:val="2"/>
        <w:rPr>
          <w:rFonts w:ascii="宋体" w:hAnsi="宋体" w:eastAsia="宋体" w:cs="宋体"/>
          <w:b/>
          <w:bCs/>
          <w:color w:val="auto"/>
          <w:sz w:val="28"/>
          <w:szCs w:val="28"/>
          <w:highlight w:val="none"/>
        </w:rPr>
      </w:pPr>
    </w:p>
    <w:p w14:paraId="7C9E853E">
      <w:pPr>
        <w:rPr>
          <w:rFonts w:ascii="宋体" w:hAnsi="宋体" w:eastAsia="宋体" w:cs="宋体"/>
          <w:b/>
          <w:bCs/>
          <w:color w:val="auto"/>
          <w:sz w:val="28"/>
          <w:szCs w:val="28"/>
          <w:highlight w:val="none"/>
        </w:rPr>
      </w:pPr>
    </w:p>
    <w:p w14:paraId="51C18399">
      <w:pPr>
        <w:pStyle w:val="2"/>
        <w:rPr>
          <w:rFonts w:ascii="宋体" w:hAnsi="宋体" w:eastAsia="宋体" w:cs="宋体"/>
          <w:b/>
          <w:bCs/>
          <w:color w:val="auto"/>
          <w:sz w:val="28"/>
          <w:szCs w:val="28"/>
          <w:highlight w:val="none"/>
        </w:rPr>
      </w:pPr>
    </w:p>
    <w:p w14:paraId="5430D296">
      <w:pPr>
        <w:rPr>
          <w:rFonts w:ascii="宋体" w:hAnsi="宋体" w:eastAsia="宋体" w:cs="宋体"/>
          <w:b/>
          <w:bCs/>
          <w:color w:val="auto"/>
          <w:sz w:val="28"/>
          <w:szCs w:val="28"/>
          <w:highlight w:val="none"/>
        </w:rPr>
      </w:pPr>
    </w:p>
    <w:p w14:paraId="489B4295">
      <w:pPr>
        <w:pStyle w:val="2"/>
        <w:rPr>
          <w:rFonts w:ascii="宋体" w:hAnsi="宋体" w:eastAsia="宋体" w:cs="宋体"/>
          <w:b/>
          <w:bCs/>
          <w:color w:val="auto"/>
          <w:sz w:val="28"/>
          <w:szCs w:val="28"/>
          <w:highlight w:val="none"/>
        </w:rPr>
      </w:pPr>
    </w:p>
    <w:p w14:paraId="6B615EF6">
      <w:pPr>
        <w:rPr>
          <w:rFonts w:ascii="宋体" w:hAnsi="宋体" w:eastAsia="宋体" w:cs="宋体"/>
          <w:b/>
          <w:bCs/>
          <w:color w:val="auto"/>
          <w:sz w:val="28"/>
          <w:szCs w:val="28"/>
          <w:highlight w:val="none"/>
        </w:rPr>
      </w:pPr>
    </w:p>
    <w:p w14:paraId="1E25F108">
      <w:pPr>
        <w:pStyle w:val="2"/>
        <w:rPr>
          <w:rFonts w:ascii="宋体" w:hAnsi="宋体" w:eastAsia="宋体" w:cs="宋体"/>
          <w:b/>
          <w:bCs/>
          <w:color w:val="auto"/>
          <w:sz w:val="28"/>
          <w:szCs w:val="28"/>
          <w:highlight w:val="none"/>
        </w:rPr>
      </w:pPr>
    </w:p>
    <w:p w14:paraId="38A84FB8">
      <w:pPr>
        <w:rPr>
          <w:rFonts w:ascii="宋体" w:hAnsi="宋体" w:eastAsia="宋体" w:cs="宋体"/>
          <w:b/>
          <w:bCs/>
          <w:color w:val="auto"/>
          <w:sz w:val="28"/>
          <w:szCs w:val="28"/>
          <w:highlight w:val="none"/>
        </w:rPr>
      </w:pPr>
    </w:p>
    <w:p w14:paraId="107B62E8">
      <w:pPr>
        <w:pStyle w:val="2"/>
        <w:rPr>
          <w:rFonts w:ascii="宋体" w:hAnsi="宋体" w:eastAsia="宋体" w:cs="宋体"/>
          <w:b/>
          <w:bCs/>
          <w:color w:val="auto"/>
          <w:sz w:val="28"/>
          <w:szCs w:val="28"/>
          <w:highlight w:val="none"/>
        </w:rPr>
      </w:pPr>
    </w:p>
    <w:p w14:paraId="45634BAB">
      <w:pPr>
        <w:rPr>
          <w:rFonts w:ascii="宋体" w:hAnsi="宋体" w:eastAsia="宋体" w:cs="宋体"/>
          <w:b/>
          <w:bCs/>
          <w:color w:val="auto"/>
          <w:sz w:val="28"/>
          <w:szCs w:val="28"/>
          <w:highlight w:val="none"/>
        </w:rPr>
      </w:pPr>
    </w:p>
    <w:p w14:paraId="05CA25A4">
      <w:pPr>
        <w:pStyle w:val="2"/>
        <w:rPr>
          <w:rFonts w:ascii="宋体" w:hAnsi="宋体" w:eastAsia="宋体" w:cs="宋体"/>
          <w:b/>
          <w:bCs/>
          <w:color w:val="auto"/>
          <w:sz w:val="28"/>
          <w:szCs w:val="28"/>
          <w:highlight w:val="none"/>
        </w:rPr>
      </w:pPr>
    </w:p>
    <w:p w14:paraId="01479BAA">
      <w:pPr>
        <w:rPr>
          <w:rFonts w:ascii="宋体" w:hAnsi="宋体" w:eastAsia="宋体" w:cs="宋体"/>
          <w:b/>
          <w:bCs/>
          <w:color w:val="auto"/>
          <w:sz w:val="28"/>
          <w:szCs w:val="28"/>
          <w:highlight w:val="none"/>
        </w:rPr>
      </w:pPr>
    </w:p>
    <w:p w14:paraId="057C31FD">
      <w:pPr>
        <w:pStyle w:val="2"/>
        <w:rPr>
          <w:rFonts w:ascii="宋体" w:hAnsi="宋体" w:eastAsia="宋体" w:cs="宋体"/>
          <w:b/>
          <w:bCs/>
          <w:color w:val="auto"/>
          <w:sz w:val="28"/>
          <w:szCs w:val="28"/>
          <w:highlight w:val="none"/>
        </w:rPr>
      </w:pPr>
    </w:p>
    <w:p w14:paraId="1293746D">
      <w:pPr>
        <w:rPr>
          <w:rFonts w:ascii="宋体" w:hAnsi="宋体" w:eastAsia="宋体" w:cs="宋体"/>
          <w:b/>
          <w:bCs/>
          <w:color w:val="auto"/>
          <w:sz w:val="28"/>
          <w:szCs w:val="28"/>
          <w:highlight w:val="none"/>
        </w:rPr>
      </w:pPr>
    </w:p>
    <w:p w14:paraId="3AB0278D">
      <w:pPr>
        <w:pStyle w:val="2"/>
        <w:rPr>
          <w:rFonts w:ascii="宋体" w:hAnsi="宋体" w:eastAsia="宋体" w:cs="宋体"/>
          <w:b/>
          <w:bCs/>
          <w:color w:val="auto"/>
          <w:sz w:val="28"/>
          <w:szCs w:val="28"/>
          <w:highlight w:val="none"/>
        </w:rPr>
      </w:pPr>
    </w:p>
    <w:p w14:paraId="0F23A2F5">
      <w:pPr>
        <w:rPr>
          <w:rFonts w:ascii="宋体" w:hAnsi="宋体" w:eastAsia="宋体" w:cs="宋体"/>
          <w:b/>
          <w:bCs/>
          <w:color w:val="auto"/>
          <w:sz w:val="28"/>
          <w:szCs w:val="28"/>
          <w:highlight w:val="none"/>
        </w:rPr>
      </w:pPr>
    </w:p>
    <w:p w14:paraId="1C8C27AA">
      <w:pPr>
        <w:pStyle w:val="2"/>
        <w:rPr>
          <w:rFonts w:ascii="宋体" w:hAnsi="宋体" w:eastAsia="宋体" w:cs="宋体"/>
          <w:b/>
          <w:bCs/>
          <w:color w:val="auto"/>
          <w:sz w:val="28"/>
          <w:szCs w:val="28"/>
          <w:highlight w:val="none"/>
        </w:rPr>
      </w:pPr>
    </w:p>
    <w:p w14:paraId="355DEEBD">
      <w:pPr>
        <w:rPr>
          <w:rFonts w:ascii="宋体" w:hAnsi="宋体" w:eastAsia="宋体" w:cs="宋体"/>
          <w:b/>
          <w:bCs/>
          <w:color w:val="auto"/>
          <w:sz w:val="28"/>
          <w:szCs w:val="28"/>
          <w:highlight w:val="none"/>
        </w:rPr>
      </w:pPr>
    </w:p>
    <w:p w14:paraId="3180B21E">
      <w:pPr>
        <w:pStyle w:val="2"/>
        <w:rPr>
          <w:color w:val="auto"/>
          <w:highlight w:val="none"/>
        </w:rPr>
      </w:pPr>
    </w:p>
    <w:p w14:paraId="4A96D995">
      <w:pPr>
        <w:snapToGrid w:val="0"/>
        <w:spacing w:line="360" w:lineRule="auto"/>
        <w:jc w:val="left"/>
        <w:rPr>
          <w:rFonts w:ascii="宋体" w:hAnsi="宋体" w:eastAsia="宋体" w:cs="宋体"/>
          <w:b/>
          <w:bCs/>
          <w:color w:val="auto"/>
          <w:sz w:val="28"/>
          <w:szCs w:val="28"/>
          <w:highlight w:val="none"/>
        </w:rPr>
      </w:pPr>
    </w:p>
    <w:p w14:paraId="712FAC37">
      <w:pPr>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ascii="宋体" w:hAnsi="宋体" w:eastAsia="宋体" w:cs="宋体"/>
          <w:b/>
          <w:bCs/>
          <w:color w:val="auto"/>
          <w:sz w:val="28"/>
          <w:szCs w:val="28"/>
          <w:highlight w:val="none"/>
        </w:rPr>
        <w:t>1</w:t>
      </w:r>
    </w:p>
    <w:p w14:paraId="3F98DB8A">
      <w:pPr>
        <w:snapToGrid w:val="0"/>
        <w:spacing w:line="360" w:lineRule="auto"/>
        <w:jc w:val="center"/>
        <w:rPr>
          <w:rFonts w:ascii="宋体" w:hAnsi="宋体" w:eastAsia="宋体" w:cs="Times New Roman"/>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642F9DF4">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s="宋体"/>
          <w:color w:val="auto"/>
          <w:sz w:val="22"/>
          <w:szCs w:val="22"/>
          <w:highlight w:val="none"/>
          <w:u w:val="single"/>
        </w:rPr>
        <w:t>（联合体）</w:t>
      </w:r>
      <w:r>
        <w:rPr>
          <w:rFonts w:hint="eastAsia" w:ascii="宋体" w:hAnsi="宋体" w:eastAsia="宋体" w:cs="宋体"/>
          <w:color w:val="auto"/>
          <w:sz w:val="22"/>
          <w:szCs w:val="22"/>
          <w:highlight w:val="none"/>
        </w:rPr>
        <w:t>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21BDA921">
      <w:pPr>
        <w:numPr>
          <w:ilvl w:val="0"/>
          <w:numId w:val="11"/>
        </w:num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，从业人员人，营业收入为万元，资产总额为万元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446EAD2A">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，从业人员人，营业收入为 万元，资产总额为万元，属于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32B934A">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31FDFB1">
      <w:pPr>
        <w:tabs>
          <w:tab w:val="left" w:pos="1069"/>
        </w:tabs>
        <w:spacing w:line="400" w:lineRule="exact"/>
        <w:ind w:firstLine="440" w:firstLineChars="200"/>
        <w:rPr>
          <w:rFonts w:ascii="宋体" w:hAnsi="宋体" w:eastAsia="宋体" w:cs="宋体"/>
          <w:color w:val="auto"/>
          <w:sz w:val="22"/>
          <w:szCs w:val="22"/>
          <w:highlight w:val="none"/>
        </w:rPr>
      </w:pPr>
    </w:p>
    <w:p w14:paraId="326FF78B">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3764F07A">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01C8D790">
      <w:pPr>
        <w:rPr>
          <w:rFonts w:ascii="宋体" w:hAnsi="宋体" w:eastAsia="宋体" w:cs="宋体"/>
          <w:b/>
          <w:color w:val="auto"/>
          <w:kern w:val="0"/>
          <w:sz w:val="20"/>
          <w:szCs w:val="20"/>
          <w:highlight w:val="none"/>
        </w:rPr>
      </w:pPr>
    </w:p>
    <w:p w14:paraId="32683B61">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 从业人员、营业收入、资产总额填报上一年度数据，无上一年度数据的新成立企业可不填报。</w:t>
      </w:r>
    </w:p>
    <w:p w14:paraId="527B0C46">
      <w:pPr>
        <w:snapToGrid w:val="0"/>
        <w:spacing w:line="360" w:lineRule="auto"/>
        <w:rPr>
          <w:rFonts w:ascii="宋体" w:hAnsi="宋体" w:eastAsia="宋体" w:cs="宋体"/>
          <w:b/>
          <w:bCs/>
          <w:color w:val="auto"/>
          <w:szCs w:val="22"/>
          <w:highlight w:val="none"/>
        </w:rPr>
      </w:pPr>
    </w:p>
    <w:p w14:paraId="056F63EA">
      <w:pPr>
        <w:snapToGrid w:val="0"/>
        <w:spacing w:line="360" w:lineRule="auto"/>
        <w:ind w:firstLine="422" w:firstLineChars="200"/>
        <w:rPr>
          <w:rFonts w:ascii="宋体" w:hAnsi="宋体" w:eastAsia="宋体" w:cs="宋体"/>
          <w:b/>
          <w:bCs/>
          <w:color w:val="auto"/>
          <w:sz w:val="26"/>
          <w:szCs w:val="26"/>
          <w:highlight w:val="none"/>
        </w:rPr>
      </w:pPr>
      <w:r>
        <w:rPr>
          <w:rFonts w:hint="eastAsia" w:ascii="宋体" w:hAnsi="宋体" w:eastAsia="宋体" w:cs="宋体"/>
          <w:b/>
          <w:bCs/>
          <w:color w:val="auto"/>
          <w:szCs w:val="22"/>
          <w:highlight w:val="none"/>
        </w:rPr>
        <w:t>▲投标人提供的中小企业声明函与实际情况不符的，视为投标人提供虚假材料投标的，投标无效。</w:t>
      </w:r>
    </w:p>
    <w:p w14:paraId="104AD5A7">
      <w:pPr>
        <w:snapToGrid w:val="0"/>
        <w:spacing w:line="360" w:lineRule="auto"/>
        <w:rPr>
          <w:rFonts w:ascii="宋体" w:hAnsi="宋体" w:eastAsia="宋体" w:cs="宋体"/>
          <w:color w:val="auto"/>
          <w:sz w:val="22"/>
          <w:szCs w:val="22"/>
          <w:highlight w:val="none"/>
        </w:rPr>
      </w:pPr>
    </w:p>
    <w:p w14:paraId="5A95CA9E">
      <w:pPr>
        <w:pStyle w:val="4"/>
        <w:rPr>
          <w:rFonts w:ascii="宋体" w:hAnsi="宋体" w:eastAsia="宋体" w:cs="宋体"/>
          <w:color w:val="auto"/>
          <w:sz w:val="22"/>
          <w:szCs w:val="22"/>
          <w:highlight w:val="none"/>
        </w:rPr>
      </w:pPr>
    </w:p>
    <w:p w14:paraId="2582E66E">
      <w:pPr>
        <w:pStyle w:val="6"/>
        <w:rPr>
          <w:rFonts w:ascii="宋体" w:hAnsi="宋体" w:eastAsia="宋体" w:cs="宋体"/>
          <w:color w:val="auto"/>
          <w:sz w:val="22"/>
          <w:szCs w:val="22"/>
          <w:highlight w:val="none"/>
        </w:rPr>
      </w:pPr>
    </w:p>
    <w:p w14:paraId="503E0175">
      <w:pPr>
        <w:rPr>
          <w:rFonts w:ascii="宋体" w:hAnsi="宋体" w:eastAsia="宋体" w:cs="宋体"/>
          <w:color w:val="auto"/>
          <w:sz w:val="22"/>
          <w:szCs w:val="22"/>
          <w:highlight w:val="none"/>
        </w:rPr>
      </w:pPr>
    </w:p>
    <w:p w14:paraId="51EC47F9">
      <w:pPr>
        <w:pStyle w:val="2"/>
        <w:rPr>
          <w:rFonts w:ascii="宋体" w:hAnsi="宋体" w:eastAsia="宋体" w:cs="宋体"/>
          <w:color w:val="auto"/>
          <w:sz w:val="22"/>
          <w:szCs w:val="22"/>
          <w:highlight w:val="none"/>
        </w:rPr>
      </w:pPr>
    </w:p>
    <w:p w14:paraId="61F7D00F">
      <w:pPr>
        <w:rPr>
          <w:rFonts w:ascii="宋体" w:hAnsi="宋体" w:eastAsia="宋体" w:cs="宋体"/>
          <w:color w:val="auto"/>
          <w:sz w:val="22"/>
          <w:szCs w:val="22"/>
          <w:highlight w:val="none"/>
        </w:rPr>
      </w:pPr>
    </w:p>
    <w:p w14:paraId="34525975">
      <w:pPr>
        <w:pStyle w:val="2"/>
        <w:rPr>
          <w:rFonts w:ascii="宋体" w:hAnsi="宋体" w:eastAsia="宋体" w:cs="宋体"/>
          <w:color w:val="auto"/>
          <w:sz w:val="22"/>
          <w:szCs w:val="22"/>
          <w:highlight w:val="none"/>
        </w:rPr>
      </w:pPr>
    </w:p>
    <w:p w14:paraId="360659D5">
      <w:pPr>
        <w:rPr>
          <w:rFonts w:ascii="宋体" w:hAnsi="宋体" w:eastAsia="宋体" w:cs="宋体"/>
          <w:color w:val="auto"/>
          <w:sz w:val="22"/>
          <w:szCs w:val="22"/>
          <w:highlight w:val="none"/>
        </w:rPr>
      </w:pPr>
    </w:p>
    <w:p w14:paraId="2B918AE3">
      <w:pPr>
        <w:pStyle w:val="2"/>
        <w:rPr>
          <w:rFonts w:ascii="宋体" w:hAnsi="宋体" w:eastAsia="宋体" w:cs="宋体"/>
          <w:color w:val="auto"/>
          <w:sz w:val="22"/>
          <w:szCs w:val="22"/>
          <w:highlight w:val="none"/>
        </w:rPr>
      </w:pPr>
    </w:p>
    <w:p w14:paraId="5488E336">
      <w:pPr>
        <w:rPr>
          <w:rFonts w:ascii="宋体" w:hAnsi="宋体" w:eastAsia="宋体" w:cs="宋体"/>
          <w:color w:val="auto"/>
          <w:sz w:val="22"/>
          <w:szCs w:val="22"/>
          <w:highlight w:val="none"/>
        </w:rPr>
      </w:pPr>
    </w:p>
    <w:p w14:paraId="6153A37F">
      <w:pPr>
        <w:pStyle w:val="2"/>
        <w:rPr>
          <w:rFonts w:ascii="宋体" w:hAnsi="宋体" w:eastAsia="宋体" w:cs="宋体"/>
          <w:color w:val="auto"/>
          <w:sz w:val="22"/>
          <w:szCs w:val="22"/>
          <w:highlight w:val="none"/>
        </w:rPr>
      </w:pPr>
    </w:p>
    <w:p w14:paraId="123BA0BA">
      <w:pPr>
        <w:rPr>
          <w:rFonts w:ascii="宋体" w:hAnsi="宋体" w:eastAsia="宋体" w:cs="宋体"/>
          <w:color w:val="auto"/>
          <w:sz w:val="22"/>
          <w:szCs w:val="22"/>
          <w:highlight w:val="none"/>
        </w:rPr>
      </w:pPr>
    </w:p>
    <w:p w14:paraId="42D43AD7">
      <w:pPr>
        <w:pStyle w:val="2"/>
        <w:rPr>
          <w:rFonts w:ascii="宋体" w:hAnsi="宋体" w:eastAsia="宋体" w:cs="宋体"/>
          <w:color w:val="auto"/>
          <w:sz w:val="22"/>
          <w:szCs w:val="22"/>
          <w:highlight w:val="none"/>
        </w:rPr>
      </w:pPr>
    </w:p>
    <w:p w14:paraId="151190CF">
      <w:pPr>
        <w:rPr>
          <w:rFonts w:ascii="宋体" w:hAnsi="宋体" w:eastAsia="宋体" w:cs="宋体"/>
          <w:color w:val="auto"/>
          <w:sz w:val="22"/>
          <w:szCs w:val="22"/>
          <w:highlight w:val="none"/>
        </w:rPr>
      </w:pPr>
    </w:p>
    <w:p w14:paraId="4DF05119">
      <w:pPr>
        <w:pStyle w:val="2"/>
        <w:rPr>
          <w:rFonts w:ascii="宋体" w:hAnsi="宋体" w:eastAsia="宋体" w:cs="宋体"/>
          <w:color w:val="auto"/>
          <w:sz w:val="22"/>
          <w:szCs w:val="22"/>
          <w:highlight w:val="none"/>
        </w:rPr>
      </w:pPr>
    </w:p>
    <w:p w14:paraId="09A78985">
      <w:pPr>
        <w:rPr>
          <w:color w:val="auto"/>
          <w:highlight w:val="none"/>
        </w:rPr>
      </w:pPr>
    </w:p>
    <w:p w14:paraId="438D32EF">
      <w:pPr>
        <w:pStyle w:val="6"/>
        <w:rPr>
          <w:rFonts w:ascii="宋体" w:hAnsi="宋体" w:eastAsia="宋体" w:cs="宋体"/>
          <w:color w:val="auto"/>
          <w:sz w:val="22"/>
          <w:szCs w:val="22"/>
          <w:highlight w:val="none"/>
        </w:rPr>
      </w:pPr>
    </w:p>
    <w:p w14:paraId="0B4DB329">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附件2</w:t>
      </w:r>
    </w:p>
    <w:p w14:paraId="3FD9F152">
      <w:pPr>
        <w:snapToGrid w:val="0"/>
        <w:spacing w:line="400" w:lineRule="atLeast"/>
        <w:jc w:val="center"/>
        <w:rPr>
          <w:rFonts w:ascii="宋体" w:hAnsi="宋体"/>
          <w:b/>
          <w:color w:val="auto"/>
          <w:sz w:val="22"/>
          <w:highlight w:val="none"/>
        </w:rPr>
      </w:pPr>
      <w:r>
        <w:rPr>
          <w:rFonts w:hint="eastAsia" w:ascii="宋体" w:hAnsi="宋体"/>
          <w:b/>
          <w:color w:val="auto"/>
          <w:sz w:val="22"/>
          <w:highlight w:val="none"/>
        </w:rPr>
        <w:t>残疾人福利性单位声明函</w:t>
      </w:r>
    </w:p>
    <w:p w14:paraId="5B4DB78F">
      <w:pPr>
        <w:snapToGrid w:val="0"/>
        <w:spacing w:line="360" w:lineRule="auto"/>
        <w:ind w:firstLine="440" w:firstLineChars="200"/>
        <w:rPr>
          <w:color w:val="auto"/>
          <w:sz w:val="22"/>
          <w:highlight w:val="none"/>
        </w:rPr>
      </w:pPr>
    </w:p>
    <w:p w14:paraId="446F1936">
      <w:pPr>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A804">
      <w:pPr>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453DAC56">
      <w:pPr>
        <w:snapToGrid w:val="0"/>
        <w:spacing w:line="360" w:lineRule="auto"/>
        <w:ind w:firstLine="440" w:firstLineChars="200"/>
        <w:rPr>
          <w:color w:val="auto"/>
          <w:sz w:val="22"/>
          <w:highlight w:val="none"/>
        </w:rPr>
      </w:pPr>
    </w:p>
    <w:p w14:paraId="551E36C8">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080CB713">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2B717011">
      <w:pPr>
        <w:snapToGrid w:val="0"/>
        <w:spacing w:line="360" w:lineRule="auto"/>
        <w:ind w:left="360"/>
        <w:rPr>
          <w:rFonts w:cs="宋体"/>
          <w:color w:val="auto"/>
          <w:sz w:val="22"/>
          <w:highlight w:val="none"/>
        </w:rPr>
      </w:pPr>
    </w:p>
    <w:p w14:paraId="23D9627E">
      <w:pPr>
        <w:spacing w:after="120" w:line="480" w:lineRule="exact"/>
        <w:outlineLvl w:val="1"/>
        <w:rPr>
          <w:rFonts w:ascii="宋体" w:hAnsi="宋体"/>
          <w:color w:val="auto"/>
          <w:sz w:val="22"/>
          <w:highlight w:val="none"/>
        </w:rPr>
      </w:pPr>
      <w:r>
        <w:rPr>
          <w:rFonts w:hint="eastAsia" w:ascii="宋体" w:hAnsi="宋体"/>
          <w:color w:val="auto"/>
          <w:sz w:val="22"/>
          <w:highlight w:val="none"/>
        </w:rPr>
        <w:t>二、节能、环保产品优先（强制）采购政策说明</w:t>
      </w:r>
    </w:p>
    <w:p w14:paraId="33718877">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1、政策依据</w:t>
      </w:r>
    </w:p>
    <w:p w14:paraId="12E2BE52">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（一）《国务院办公厅关于建立政府强制采购节能产品制度的通知》(国办发[2007]51号)</w:t>
      </w:r>
    </w:p>
    <w:p w14:paraId="3DAD752A">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（二）财政部、发展改革委发布的《节能产品政府采购实施意见》(财库[2004]185号)</w:t>
      </w:r>
    </w:p>
    <w:p w14:paraId="20C1744F">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（三）财政部、原环保总局印发的《环境标志产品政府采购实施的意见》（财库[2006]90号）</w:t>
      </w:r>
    </w:p>
    <w:p w14:paraId="39B3FAA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（四）《关于调整优化节能产品、环境标志产品政府采购执行机制的通知》（财库〔2019〕9号）</w:t>
      </w:r>
    </w:p>
    <w:p w14:paraId="1EC164A7">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（五）《关于印发节能产品政府采购品目清单的通知》（财库〔2019〕19号）</w:t>
      </w:r>
    </w:p>
    <w:p w14:paraId="75CECA44">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（六）《关于印发环境标志产品政府采购品目清单的通知》（财库〔2019〕18号）</w:t>
      </w:r>
    </w:p>
    <w:p w14:paraId="3A459BBE">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（七）《市场监管总局关于发布参与实施政府采购节能产品、环境标志产品认证机构名录的公告》（2019年第16号）</w:t>
      </w:r>
    </w:p>
    <w:p w14:paraId="6252AA05">
      <w:pPr>
        <w:spacing w:line="400" w:lineRule="exact"/>
        <w:ind w:firstLine="433" w:firstLineChars="197"/>
        <w:rPr>
          <w:rFonts w:ascii="宋体" w:eastAsia="宋体"/>
          <w:color w:val="auto"/>
          <w:sz w:val="22"/>
          <w:highlight w:val="none"/>
        </w:rPr>
      </w:pPr>
      <w:r>
        <w:rPr>
          <w:rFonts w:hint="eastAsia" w:ascii="宋体" w:hAnsi="宋体" w:eastAsia="宋体" w:cs="微软雅黑"/>
          <w:color w:val="auto"/>
          <w:sz w:val="22"/>
          <w:szCs w:val="22"/>
          <w:highlight w:val="none"/>
        </w:rPr>
        <w:t>2、供应商投标货物属于节能、环保优先（强制）采购范围的，须提供相关证明材料。</w:t>
      </w:r>
    </w:p>
    <w:p w14:paraId="2960C135">
      <w:pPr>
        <w:snapToGrid w:val="0"/>
        <w:spacing w:line="360" w:lineRule="auto"/>
        <w:rPr>
          <w:rFonts w:cs="宋体"/>
          <w:b/>
          <w:bCs/>
          <w:color w:val="auto"/>
          <w:sz w:val="22"/>
          <w:highlight w:val="none"/>
        </w:rPr>
      </w:pPr>
    </w:p>
    <w:p w14:paraId="1727F471">
      <w:pPr>
        <w:snapToGrid w:val="0"/>
        <w:spacing w:line="360" w:lineRule="auto"/>
        <w:rPr>
          <w:rFonts w:cs="宋体"/>
          <w:b/>
          <w:bCs/>
          <w:color w:val="auto"/>
          <w:sz w:val="22"/>
          <w:highlight w:val="none"/>
        </w:rPr>
      </w:pPr>
    </w:p>
    <w:p w14:paraId="59335440">
      <w:pPr>
        <w:snapToGrid w:val="0"/>
        <w:spacing w:line="360" w:lineRule="auto"/>
        <w:rPr>
          <w:rFonts w:cs="宋体"/>
          <w:b/>
          <w:bCs/>
          <w:color w:val="auto"/>
          <w:sz w:val="22"/>
          <w:highlight w:val="none"/>
        </w:rPr>
      </w:pPr>
    </w:p>
    <w:p w14:paraId="092A08C7">
      <w:pPr>
        <w:snapToGrid w:val="0"/>
        <w:spacing w:line="360" w:lineRule="auto"/>
        <w:rPr>
          <w:rFonts w:cs="宋体"/>
          <w:b/>
          <w:bCs/>
          <w:color w:val="auto"/>
          <w:sz w:val="22"/>
          <w:highlight w:val="none"/>
        </w:rPr>
      </w:pPr>
    </w:p>
    <w:p w14:paraId="7F666116">
      <w:pPr>
        <w:snapToGrid w:val="0"/>
        <w:spacing w:line="360" w:lineRule="auto"/>
        <w:rPr>
          <w:rFonts w:cs="宋体"/>
          <w:b/>
          <w:bCs/>
          <w:color w:val="auto"/>
          <w:sz w:val="22"/>
          <w:highlight w:val="none"/>
        </w:rPr>
      </w:pPr>
    </w:p>
    <w:p w14:paraId="2E0448F0">
      <w:pPr>
        <w:snapToGrid w:val="0"/>
        <w:spacing w:line="360" w:lineRule="auto"/>
        <w:rPr>
          <w:rFonts w:cs="宋体"/>
          <w:b/>
          <w:bCs/>
          <w:color w:val="auto"/>
          <w:sz w:val="22"/>
          <w:highlight w:val="none"/>
        </w:rPr>
      </w:pPr>
    </w:p>
    <w:p w14:paraId="4CDA58EC">
      <w:pPr>
        <w:pStyle w:val="4"/>
        <w:rPr>
          <w:rFonts w:cs="宋体"/>
          <w:b/>
          <w:bCs/>
          <w:color w:val="auto"/>
          <w:sz w:val="22"/>
          <w:highlight w:val="none"/>
        </w:rPr>
      </w:pPr>
    </w:p>
    <w:p w14:paraId="1B3F3F42">
      <w:pPr>
        <w:pStyle w:val="6"/>
        <w:rPr>
          <w:color w:val="auto"/>
          <w:highlight w:val="none"/>
        </w:rPr>
      </w:pPr>
    </w:p>
    <w:p w14:paraId="07BE7A1C">
      <w:pPr>
        <w:snapToGrid w:val="0"/>
        <w:spacing w:line="360" w:lineRule="auto"/>
        <w:rPr>
          <w:rFonts w:cs="宋体"/>
          <w:b/>
          <w:bCs/>
          <w:color w:val="auto"/>
          <w:sz w:val="22"/>
          <w:highlight w:val="none"/>
        </w:rPr>
      </w:pPr>
    </w:p>
    <w:p w14:paraId="5591E85C">
      <w:pPr>
        <w:snapToGrid w:val="0"/>
        <w:spacing w:line="360" w:lineRule="auto"/>
        <w:rPr>
          <w:rFonts w:cs="宋体"/>
          <w:b/>
          <w:bCs/>
          <w:color w:val="auto"/>
          <w:sz w:val="22"/>
          <w:highlight w:val="none"/>
        </w:rPr>
      </w:pPr>
    </w:p>
    <w:p w14:paraId="3916388F">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1、温州市财政局关于温州市政府采购支持中小企业信用融资的通知（温财采〔2020〕3号）</w:t>
      </w:r>
    </w:p>
    <w:p w14:paraId="1251095F">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2、融资合作银行名单及意向银行选择表：</w:t>
      </w:r>
    </w:p>
    <w:tbl>
      <w:tblPr>
        <w:tblStyle w:val="31"/>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267C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41" w:type="dxa"/>
            <w:gridSpan w:val="4"/>
            <w:vAlign w:val="center"/>
          </w:tcPr>
          <w:p w14:paraId="05AF9C32">
            <w:pPr>
              <w:jc w:val="center"/>
              <w:rPr>
                <w:rFonts w:ascii="宋体" w:hAnsi="宋体" w:eastAsia="宋体"/>
                <w:bCs/>
                <w:color w:val="auto"/>
                <w:sz w:val="22"/>
                <w:szCs w:val="22"/>
                <w:highlight w:val="none"/>
              </w:rPr>
            </w:pPr>
            <w:r>
              <w:rPr>
                <w:rFonts w:hint="eastAsia" w:ascii="宋体" w:hAnsi="宋体" w:eastAsia="宋体"/>
                <w:bCs/>
                <w:color w:val="auto"/>
                <w:sz w:val="22"/>
                <w:szCs w:val="22"/>
                <w:highlight w:val="none"/>
              </w:rPr>
              <w:t>温州市政府采购支持中小企业信用融资合作银行</w:t>
            </w:r>
          </w:p>
        </w:tc>
      </w:tr>
      <w:tr w14:paraId="42A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4" w:type="dxa"/>
            <w:vAlign w:val="center"/>
          </w:tcPr>
          <w:p w14:paraId="7E8BBD94">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银行名称</w:t>
            </w:r>
          </w:p>
        </w:tc>
        <w:tc>
          <w:tcPr>
            <w:tcW w:w="4712" w:type="dxa"/>
            <w:vAlign w:val="center"/>
          </w:tcPr>
          <w:p w14:paraId="333D8735">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产品特点（不超过120字）</w:t>
            </w:r>
          </w:p>
        </w:tc>
        <w:tc>
          <w:tcPr>
            <w:tcW w:w="1019" w:type="dxa"/>
            <w:vAlign w:val="center"/>
          </w:tcPr>
          <w:p w14:paraId="037DA3F5">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经办人</w:t>
            </w:r>
          </w:p>
        </w:tc>
        <w:tc>
          <w:tcPr>
            <w:tcW w:w="1725" w:type="dxa"/>
            <w:vAlign w:val="center"/>
          </w:tcPr>
          <w:p w14:paraId="5ED609CC">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联系方式</w:t>
            </w:r>
          </w:p>
        </w:tc>
      </w:tr>
      <w:tr w14:paraId="3351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454A96FB">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中国工商银行股份有限公司温州分行</w:t>
            </w:r>
          </w:p>
        </w:tc>
        <w:tc>
          <w:tcPr>
            <w:tcW w:w="4712" w:type="dxa"/>
          </w:tcPr>
          <w:p w14:paraId="479CFC09">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9" w:type="dxa"/>
            <w:vAlign w:val="center"/>
          </w:tcPr>
          <w:p w14:paraId="24EFF6E7">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王经理</w:t>
            </w:r>
          </w:p>
        </w:tc>
        <w:tc>
          <w:tcPr>
            <w:tcW w:w="1725" w:type="dxa"/>
            <w:vAlign w:val="center"/>
          </w:tcPr>
          <w:p w14:paraId="050A71F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0577-88186626</w:t>
            </w:r>
          </w:p>
        </w:tc>
      </w:tr>
      <w:tr w14:paraId="29B3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B73215F">
            <w:pPr>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中国建设银行股份有限公司温州分行</w:t>
            </w:r>
          </w:p>
        </w:tc>
        <w:tc>
          <w:tcPr>
            <w:tcW w:w="4712" w:type="dxa"/>
          </w:tcPr>
          <w:p w14:paraId="1BE2B9B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9" w:type="dxa"/>
            <w:vAlign w:val="center"/>
          </w:tcPr>
          <w:p w14:paraId="04D7077D">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张经理</w:t>
            </w:r>
          </w:p>
        </w:tc>
        <w:tc>
          <w:tcPr>
            <w:tcW w:w="1725" w:type="dxa"/>
            <w:vAlign w:val="center"/>
          </w:tcPr>
          <w:p w14:paraId="52A14B13">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0577-88093286</w:t>
            </w:r>
          </w:p>
        </w:tc>
      </w:tr>
      <w:tr w14:paraId="660B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192CBB0F">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中国邮政储蓄银行股份有限公司温州市分行</w:t>
            </w:r>
          </w:p>
        </w:tc>
        <w:tc>
          <w:tcPr>
            <w:tcW w:w="4712" w:type="dxa"/>
            <w:vAlign w:val="center"/>
          </w:tcPr>
          <w:p w14:paraId="51E1BF4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9" w:type="dxa"/>
            <w:vAlign w:val="center"/>
          </w:tcPr>
          <w:p w14:paraId="7A338839">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郑经理</w:t>
            </w:r>
          </w:p>
        </w:tc>
        <w:tc>
          <w:tcPr>
            <w:tcW w:w="1725" w:type="dxa"/>
            <w:vAlign w:val="center"/>
          </w:tcPr>
          <w:p w14:paraId="3780FD15">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0577-88193910</w:t>
            </w:r>
          </w:p>
        </w:tc>
      </w:tr>
      <w:tr w14:paraId="4B5F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1CB748ED">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中国民生银行股份有限公司温州分行</w:t>
            </w:r>
          </w:p>
        </w:tc>
        <w:tc>
          <w:tcPr>
            <w:tcW w:w="4712" w:type="dxa"/>
          </w:tcPr>
          <w:p w14:paraId="59AF798C">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9" w:type="dxa"/>
            <w:vAlign w:val="center"/>
          </w:tcPr>
          <w:p w14:paraId="100BB5E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项经理</w:t>
            </w:r>
          </w:p>
        </w:tc>
        <w:tc>
          <w:tcPr>
            <w:tcW w:w="1725" w:type="dxa"/>
            <w:vAlign w:val="center"/>
          </w:tcPr>
          <w:p w14:paraId="24671F8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18057779630</w:t>
            </w:r>
          </w:p>
        </w:tc>
      </w:tr>
      <w:tr w14:paraId="559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50E8810E">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宁波银行股份有限公司温州分行</w:t>
            </w:r>
          </w:p>
        </w:tc>
        <w:tc>
          <w:tcPr>
            <w:tcW w:w="4712" w:type="dxa"/>
          </w:tcPr>
          <w:p w14:paraId="1ABAC5CB">
            <w:pPr>
              <w:rPr>
                <w:rFonts w:ascii="宋体" w:hAnsi="宋体" w:eastAsia="宋体"/>
                <w:bCs/>
                <w:color w:val="auto"/>
                <w:sz w:val="22"/>
                <w:szCs w:val="22"/>
                <w:highlight w:val="none"/>
              </w:rPr>
            </w:pPr>
            <w:r>
              <w:rPr>
                <w:rFonts w:ascii="宋体" w:hAnsi="宋体" w:eastAsia="宋体" w:cs="宋体"/>
                <w:bCs/>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eastAsia="宋体" w:cs="宋体"/>
                <w:bCs/>
                <w:color w:val="auto"/>
                <w:sz w:val="22"/>
                <w:szCs w:val="22"/>
                <w:highlight w:val="none"/>
              </w:rPr>
              <w:t>，最大金额不超过</w:t>
            </w:r>
            <w:r>
              <w:rPr>
                <w:rFonts w:ascii="宋体" w:hAnsi="宋体" w:eastAsia="宋体" w:cs="宋体"/>
                <w:bCs/>
                <w:color w:val="auto"/>
                <w:sz w:val="22"/>
                <w:szCs w:val="22"/>
                <w:highlight w:val="none"/>
              </w:rPr>
              <w:t>2000</w:t>
            </w:r>
            <w:r>
              <w:rPr>
                <w:rFonts w:hint="eastAsia" w:ascii="宋体" w:hAnsi="宋体" w:eastAsia="宋体" w:cs="宋体"/>
                <w:bCs/>
                <w:color w:val="auto"/>
                <w:sz w:val="22"/>
                <w:szCs w:val="22"/>
                <w:highlight w:val="none"/>
              </w:rPr>
              <w:t>万元。</w:t>
            </w:r>
          </w:p>
        </w:tc>
        <w:tc>
          <w:tcPr>
            <w:tcW w:w="1019" w:type="dxa"/>
            <w:vAlign w:val="center"/>
          </w:tcPr>
          <w:p w14:paraId="56299E5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5CB0D1BA">
            <w:pPr>
              <w:rPr>
                <w:rFonts w:ascii="宋体" w:hAnsi="宋体" w:eastAsia="宋体"/>
                <w:bCs/>
                <w:color w:val="auto"/>
                <w:sz w:val="22"/>
                <w:szCs w:val="22"/>
                <w:highlight w:val="none"/>
              </w:rPr>
            </w:pPr>
            <w:r>
              <w:rPr>
                <w:rFonts w:ascii="宋体" w:hAnsi="宋体" w:eastAsia="宋体"/>
                <w:bCs/>
                <w:color w:val="auto"/>
                <w:sz w:val="22"/>
                <w:szCs w:val="22"/>
                <w:highlight w:val="none"/>
              </w:rPr>
              <w:t>0577－88007377</w:t>
            </w:r>
          </w:p>
        </w:tc>
      </w:tr>
      <w:tr w14:paraId="4A0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67801D5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杭州银行股份有限公司温州分行</w:t>
            </w:r>
          </w:p>
        </w:tc>
        <w:tc>
          <w:tcPr>
            <w:tcW w:w="4712" w:type="dxa"/>
          </w:tcPr>
          <w:p w14:paraId="654B7C19">
            <w:pPr>
              <w:rPr>
                <w:rFonts w:ascii="宋体" w:hAnsi="宋体" w:eastAsia="宋体"/>
                <w:bCs/>
                <w:color w:val="auto"/>
                <w:sz w:val="22"/>
                <w:szCs w:val="22"/>
                <w:highlight w:val="none"/>
              </w:rPr>
            </w:pPr>
            <w:r>
              <w:rPr>
                <w:rFonts w:ascii="宋体" w:hAnsi="宋体" w:eastAsia="宋体"/>
                <w:bCs/>
                <w:color w:val="auto"/>
                <w:sz w:val="22"/>
                <w:szCs w:val="22"/>
                <w:highlight w:val="none"/>
              </w:rPr>
              <w:t>门槛低：</w:t>
            </w:r>
            <w:r>
              <w:rPr>
                <w:rFonts w:hint="eastAsia" w:ascii="宋体" w:hAnsi="宋体" w:eastAsia="宋体"/>
                <w:bCs/>
                <w:color w:val="auto"/>
                <w:sz w:val="22"/>
                <w:szCs w:val="22"/>
                <w:highlight w:val="none"/>
              </w:rPr>
              <w:t>纯</w:t>
            </w:r>
            <w:r>
              <w:rPr>
                <w:rFonts w:ascii="宋体" w:hAnsi="宋体" w:eastAsia="宋体"/>
                <w:bCs/>
                <w:color w:val="auto"/>
                <w:sz w:val="22"/>
                <w:szCs w:val="22"/>
                <w:highlight w:val="none"/>
              </w:rPr>
              <w:t>信用，</w:t>
            </w:r>
            <w:r>
              <w:rPr>
                <w:rFonts w:hint="eastAsia" w:ascii="宋体" w:hAnsi="宋体" w:eastAsia="宋体"/>
                <w:bCs/>
                <w:color w:val="auto"/>
                <w:sz w:val="22"/>
                <w:szCs w:val="22"/>
                <w:highlight w:val="none"/>
              </w:rPr>
              <w:t>平台</w:t>
            </w:r>
            <w:r>
              <w:rPr>
                <w:rFonts w:ascii="宋体" w:hAnsi="宋体" w:eastAsia="宋体"/>
                <w:bCs/>
                <w:color w:val="auto"/>
                <w:sz w:val="22"/>
                <w:szCs w:val="22"/>
                <w:highlight w:val="none"/>
              </w:rPr>
              <w:t>注册入库并取得采购合同即可申请</w:t>
            </w:r>
          </w:p>
          <w:p w14:paraId="4BFA46C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手续简</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线上申请</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w:t>
            </w:r>
            <w:r>
              <w:rPr>
                <w:rFonts w:ascii="宋体" w:hAnsi="宋体" w:eastAsia="宋体"/>
                <w:bCs/>
                <w:color w:val="auto"/>
                <w:sz w:val="22"/>
                <w:szCs w:val="22"/>
                <w:highlight w:val="none"/>
              </w:rPr>
              <w:t>签约，</w:t>
            </w:r>
            <w:r>
              <w:rPr>
                <w:rFonts w:hint="eastAsia" w:ascii="宋体" w:hAnsi="宋体" w:eastAsia="宋体"/>
                <w:bCs/>
                <w:color w:val="auto"/>
                <w:sz w:val="22"/>
                <w:szCs w:val="22"/>
                <w:highlight w:val="none"/>
              </w:rPr>
              <w:t>足不</w:t>
            </w:r>
            <w:r>
              <w:rPr>
                <w:rFonts w:ascii="宋体" w:hAnsi="宋体" w:eastAsia="宋体"/>
                <w:bCs/>
                <w:color w:val="auto"/>
                <w:sz w:val="22"/>
                <w:szCs w:val="22"/>
                <w:highlight w:val="none"/>
              </w:rPr>
              <w:t>出</w:t>
            </w:r>
            <w:r>
              <w:rPr>
                <w:rFonts w:hint="eastAsia" w:ascii="宋体" w:hAnsi="宋体" w:eastAsia="宋体"/>
                <w:bCs/>
                <w:color w:val="auto"/>
                <w:sz w:val="22"/>
                <w:szCs w:val="22"/>
                <w:highlight w:val="none"/>
              </w:rPr>
              <w:t>户</w:t>
            </w:r>
          </w:p>
          <w:p w14:paraId="3D9C69C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利率</w:t>
            </w:r>
            <w:r>
              <w:rPr>
                <w:rFonts w:ascii="宋体" w:hAnsi="宋体" w:eastAsia="宋体"/>
                <w:bCs/>
                <w:color w:val="auto"/>
                <w:sz w:val="22"/>
                <w:szCs w:val="22"/>
                <w:highlight w:val="none"/>
              </w:rPr>
              <w:t>优：</w:t>
            </w:r>
            <w:r>
              <w:rPr>
                <w:rFonts w:hint="eastAsia" w:ascii="宋体" w:hAnsi="宋体" w:eastAsia="宋体"/>
                <w:bCs/>
                <w:color w:val="auto"/>
                <w:sz w:val="22"/>
                <w:szCs w:val="22"/>
                <w:highlight w:val="none"/>
              </w:rPr>
              <w:t>按</w:t>
            </w:r>
            <w:r>
              <w:rPr>
                <w:rFonts w:ascii="宋体" w:hAnsi="宋体" w:eastAsia="宋体"/>
                <w:bCs/>
                <w:color w:val="auto"/>
                <w:sz w:val="22"/>
                <w:szCs w:val="22"/>
                <w:highlight w:val="none"/>
              </w:rPr>
              <w:t>优于一般中小企业</w:t>
            </w:r>
            <w:r>
              <w:rPr>
                <w:rFonts w:hint="eastAsia" w:ascii="宋体" w:hAnsi="宋体" w:eastAsia="宋体"/>
                <w:bCs/>
                <w:color w:val="auto"/>
                <w:sz w:val="22"/>
                <w:szCs w:val="22"/>
                <w:highlight w:val="none"/>
              </w:rPr>
              <w:t>贷款</w:t>
            </w:r>
            <w:r>
              <w:rPr>
                <w:rFonts w:ascii="宋体" w:hAnsi="宋体" w:eastAsia="宋体"/>
                <w:bCs/>
                <w:color w:val="auto"/>
                <w:sz w:val="22"/>
                <w:szCs w:val="22"/>
                <w:highlight w:val="none"/>
              </w:rPr>
              <w:t>利率执行</w:t>
            </w:r>
          </w:p>
          <w:p w14:paraId="238E56C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额度高</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最高为</w:t>
            </w:r>
            <w:r>
              <w:rPr>
                <w:rFonts w:ascii="宋体" w:hAnsi="宋体" w:eastAsia="宋体"/>
                <w:bCs/>
                <w:color w:val="auto"/>
                <w:sz w:val="22"/>
                <w:szCs w:val="22"/>
                <w:highlight w:val="none"/>
              </w:rPr>
              <w:t>合同金额的80%</w:t>
            </w:r>
          </w:p>
        </w:tc>
        <w:tc>
          <w:tcPr>
            <w:tcW w:w="1019" w:type="dxa"/>
            <w:vAlign w:val="center"/>
          </w:tcPr>
          <w:p w14:paraId="564B8701">
            <w:pPr>
              <w:rPr>
                <w:rFonts w:ascii="宋体" w:hAnsi="宋体" w:eastAsia="宋体"/>
                <w:bCs/>
                <w:color w:val="auto"/>
                <w:sz w:val="22"/>
                <w:szCs w:val="22"/>
                <w:highlight w:val="none"/>
              </w:rPr>
            </w:pPr>
            <w:r>
              <w:rPr>
                <w:rFonts w:ascii="宋体" w:hAnsi="宋体" w:eastAsia="宋体"/>
                <w:bCs/>
                <w:color w:val="auto"/>
                <w:sz w:val="22"/>
                <w:szCs w:val="22"/>
                <w:highlight w:val="none"/>
              </w:rPr>
              <w:t>叶</w:t>
            </w:r>
            <w:r>
              <w:rPr>
                <w:rFonts w:hint="eastAsia" w:ascii="宋体" w:hAnsi="宋体" w:eastAsia="宋体"/>
                <w:bCs/>
                <w:color w:val="auto"/>
                <w:sz w:val="22"/>
                <w:szCs w:val="22"/>
                <w:highlight w:val="none"/>
              </w:rPr>
              <w:t>经理</w:t>
            </w:r>
          </w:p>
        </w:tc>
        <w:tc>
          <w:tcPr>
            <w:tcW w:w="1725" w:type="dxa"/>
            <w:vAlign w:val="center"/>
          </w:tcPr>
          <w:p w14:paraId="0076B93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88008933</w:t>
            </w:r>
          </w:p>
        </w:tc>
      </w:tr>
      <w:tr w14:paraId="21B0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7501F438">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招商银行股份有限公司温州分行</w:t>
            </w:r>
          </w:p>
        </w:tc>
        <w:tc>
          <w:tcPr>
            <w:tcW w:w="4712" w:type="dxa"/>
          </w:tcPr>
          <w:p w14:paraId="7DF8B08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万，同时可开通自助贷款直通功能，自助贷款额度最高可达1</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万，支持线上申请、随借随还。</w:t>
            </w:r>
          </w:p>
        </w:tc>
        <w:tc>
          <w:tcPr>
            <w:tcW w:w="1019" w:type="dxa"/>
            <w:vAlign w:val="center"/>
          </w:tcPr>
          <w:p w14:paraId="7E29437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24064C3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w:t>
            </w:r>
            <w:r>
              <w:rPr>
                <w:rFonts w:ascii="宋体" w:hAnsi="宋体" w:eastAsia="宋体"/>
                <w:bCs/>
                <w:color w:val="auto"/>
                <w:sz w:val="22"/>
                <w:szCs w:val="22"/>
                <w:highlight w:val="none"/>
              </w:rPr>
              <w:t>8056876</w:t>
            </w:r>
          </w:p>
        </w:tc>
      </w:tr>
      <w:tr w14:paraId="460A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05750C49">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兴业银行股份有限公司温州分行</w:t>
            </w:r>
          </w:p>
        </w:tc>
        <w:tc>
          <w:tcPr>
            <w:tcW w:w="4712" w:type="dxa"/>
            <w:vAlign w:val="center"/>
          </w:tcPr>
          <w:p w14:paraId="755F7017">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9" w:type="dxa"/>
            <w:vAlign w:val="center"/>
          </w:tcPr>
          <w:p w14:paraId="080E7AA2">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张经理</w:t>
            </w:r>
          </w:p>
          <w:p w14:paraId="6D24C5EC">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2879C05E">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88369368</w:t>
            </w:r>
            <w:r>
              <w:rPr>
                <w:rFonts w:hint="eastAsia" w:ascii="宋体" w:hAnsi="宋体" w:eastAsia="宋体"/>
                <w:bCs/>
                <w:color w:val="auto"/>
                <w:sz w:val="22"/>
                <w:szCs w:val="22"/>
                <w:highlight w:val="none"/>
              </w:rPr>
              <w:t>/13857713118</w:t>
            </w:r>
          </w:p>
          <w:p w14:paraId="085420B6">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0577-56969696-1146506</w:t>
            </w:r>
          </w:p>
        </w:tc>
      </w:tr>
      <w:tr w14:paraId="4EDB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1C167198">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温州银行股份有限公司温州分行</w:t>
            </w:r>
          </w:p>
        </w:tc>
        <w:tc>
          <w:tcPr>
            <w:tcW w:w="4712" w:type="dxa"/>
          </w:tcPr>
          <w:p w14:paraId="493113EA">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9" w:type="dxa"/>
            <w:vAlign w:val="center"/>
          </w:tcPr>
          <w:p w14:paraId="778FE580">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陈经理</w:t>
            </w:r>
          </w:p>
        </w:tc>
        <w:tc>
          <w:tcPr>
            <w:tcW w:w="1725" w:type="dxa"/>
            <w:vAlign w:val="center"/>
          </w:tcPr>
          <w:p w14:paraId="3613278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13736355866</w:t>
            </w:r>
          </w:p>
        </w:tc>
      </w:tr>
      <w:tr w14:paraId="250D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0F9C32AF">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温州银行股份有限公司鹿城分行</w:t>
            </w:r>
          </w:p>
        </w:tc>
        <w:tc>
          <w:tcPr>
            <w:tcW w:w="4712" w:type="dxa"/>
          </w:tcPr>
          <w:p w14:paraId="0C4E6965">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w:t>
            </w:r>
            <w:r>
              <w:rPr>
                <w:rFonts w:ascii="宋体" w:hAnsi="宋体" w:eastAsia="宋体"/>
                <w:bCs/>
                <w:color w:val="auto"/>
                <w:sz w:val="22"/>
                <w:szCs w:val="22"/>
                <w:highlight w:val="none"/>
              </w:rPr>
              <w:t>订单贷：</w:t>
            </w:r>
            <w:r>
              <w:rPr>
                <w:rFonts w:hint="eastAsia" w:ascii="宋体" w:hAnsi="宋体" w:eastAsia="宋体"/>
                <w:bCs/>
                <w:color w:val="auto"/>
                <w:sz w:val="22"/>
                <w:szCs w:val="22"/>
                <w:highlight w:val="none"/>
              </w:rPr>
              <w:t>1、面向政府采购项目供应商，满足供应商资金周转需求，凭中标通知书即可申请，2、秒知额高，最高可贷500万元，单笔业务金额可贷中标金额的80%，</w:t>
            </w:r>
          </w:p>
          <w:p w14:paraId="7113E691">
            <w:pPr>
              <w:ind w:left="5"/>
              <w:rPr>
                <w:rFonts w:ascii="宋体" w:hAnsi="宋体" w:eastAsia="宋体"/>
                <w:bCs/>
                <w:color w:val="auto"/>
                <w:sz w:val="22"/>
                <w:szCs w:val="22"/>
                <w:highlight w:val="none"/>
              </w:rPr>
            </w:pPr>
            <w:r>
              <w:rPr>
                <w:rFonts w:hint="eastAsia" w:ascii="宋体" w:hAnsi="宋体" w:eastAsia="宋体"/>
                <w:bCs/>
                <w:color w:val="auto"/>
                <w:sz w:val="22"/>
                <w:szCs w:val="22"/>
                <w:highlight w:val="none"/>
              </w:rPr>
              <w:t>最长期限可贷1年。信保贷：1、额度最高可达500万元</w:t>
            </w:r>
          </w:p>
          <w:p w14:paraId="6C1CA21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2、担保灵活，信用贷款3、贷款年利率至少可享受本单位一般性中小企业信用贷款利率基础上下浮10%</w:t>
            </w:r>
          </w:p>
        </w:tc>
        <w:tc>
          <w:tcPr>
            <w:tcW w:w="1019" w:type="dxa"/>
            <w:vAlign w:val="center"/>
          </w:tcPr>
          <w:p w14:paraId="3B035AC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戴经理</w:t>
            </w:r>
          </w:p>
        </w:tc>
        <w:tc>
          <w:tcPr>
            <w:tcW w:w="1725" w:type="dxa"/>
            <w:vAlign w:val="center"/>
          </w:tcPr>
          <w:p w14:paraId="7B79918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13605772302</w:t>
            </w:r>
          </w:p>
        </w:tc>
      </w:tr>
      <w:tr w14:paraId="014B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031010C2">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交通银行股份有限公司温州分行</w:t>
            </w:r>
          </w:p>
        </w:tc>
        <w:tc>
          <w:tcPr>
            <w:tcW w:w="4712" w:type="dxa"/>
          </w:tcPr>
          <w:p w14:paraId="1320A59F">
            <w:pPr>
              <w:autoSpaceDE w:val="0"/>
              <w:autoSpaceDN w:val="0"/>
              <w:adjustRightInd w:val="0"/>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9" w:type="dxa"/>
            <w:vAlign w:val="center"/>
          </w:tcPr>
          <w:p w14:paraId="43884D2F">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缪经理</w:t>
            </w:r>
          </w:p>
        </w:tc>
        <w:tc>
          <w:tcPr>
            <w:tcW w:w="1725" w:type="dxa"/>
            <w:vAlign w:val="center"/>
          </w:tcPr>
          <w:p w14:paraId="0E8785D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0577-88248454</w:t>
            </w:r>
          </w:p>
        </w:tc>
      </w:tr>
      <w:tr w14:paraId="1DFC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5426A06F">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上海浦东发展银行股份有限公司温州分行</w:t>
            </w:r>
          </w:p>
        </w:tc>
        <w:tc>
          <w:tcPr>
            <w:tcW w:w="4712" w:type="dxa"/>
          </w:tcPr>
          <w:p w14:paraId="0DB54039">
            <w:pPr>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1A64898F">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所需材料：企业基础证件、相关中标文件（中标通知书、采购合同等）、其他必要文件</w:t>
            </w:r>
          </w:p>
        </w:tc>
        <w:tc>
          <w:tcPr>
            <w:tcW w:w="1019" w:type="dxa"/>
            <w:vAlign w:val="center"/>
          </w:tcPr>
          <w:p w14:paraId="3D2425FF">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叶经理</w:t>
            </w:r>
          </w:p>
        </w:tc>
        <w:tc>
          <w:tcPr>
            <w:tcW w:w="1725" w:type="dxa"/>
            <w:vAlign w:val="center"/>
          </w:tcPr>
          <w:p w14:paraId="01A0BD2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0577-55570829</w:t>
            </w:r>
          </w:p>
        </w:tc>
      </w:tr>
    </w:tbl>
    <w:p w14:paraId="08D4FCFC">
      <w:pPr>
        <w:rPr>
          <w:rFonts w:eastAsia="宋体"/>
          <w:color w:val="auto"/>
          <w:sz w:val="28"/>
          <w:szCs w:val="36"/>
          <w:highlight w:val="none"/>
        </w:rPr>
      </w:pPr>
    </w:p>
    <w:p w14:paraId="5369755C">
      <w:pPr>
        <w:jc w:val="center"/>
        <w:rPr>
          <w:rFonts w:eastAsia="宋体"/>
          <w:color w:val="auto"/>
          <w:sz w:val="28"/>
          <w:szCs w:val="36"/>
          <w:highlight w:val="none"/>
        </w:rPr>
      </w:pPr>
    </w:p>
    <w:p w14:paraId="2DCF666F">
      <w:pPr>
        <w:jc w:val="center"/>
        <w:rPr>
          <w:rFonts w:eastAsia="宋体"/>
          <w:color w:val="auto"/>
          <w:sz w:val="28"/>
          <w:szCs w:val="36"/>
          <w:highlight w:val="none"/>
        </w:rPr>
      </w:pPr>
    </w:p>
    <w:p w14:paraId="0BDD471E">
      <w:pPr>
        <w:jc w:val="center"/>
        <w:rPr>
          <w:rFonts w:eastAsia="宋体"/>
          <w:color w:val="auto"/>
          <w:sz w:val="28"/>
          <w:szCs w:val="36"/>
          <w:highlight w:val="none"/>
        </w:rPr>
      </w:pPr>
    </w:p>
    <w:p w14:paraId="58E049DD">
      <w:pPr>
        <w:jc w:val="center"/>
        <w:rPr>
          <w:rFonts w:eastAsia="宋体"/>
          <w:color w:val="auto"/>
          <w:sz w:val="28"/>
          <w:szCs w:val="36"/>
          <w:highlight w:val="none"/>
        </w:rPr>
      </w:pPr>
    </w:p>
    <w:p w14:paraId="1F14F4E0">
      <w:pPr>
        <w:pStyle w:val="2"/>
        <w:rPr>
          <w:rFonts w:eastAsia="宋体"/>
          <w:color w:val="auto"/>
          <w:sz w:val="28"/>
          <w:szCs w:val="36"/>
          <w:highlight w:val="none"/>
        </w:rPr>
      </w:pPr>
    </w:p>
    <w:p w14:paraId="125AE945">
      <w:pPr>
        <w:rPr>
          <w:color w:val="auto"/>
          <w:highlight w:val="none"/>
        </w:rPr>
      </w:pPr>
    </w:p>
    <w:p w14:paraId="7D0DC876">
      <w:pPr>
        <w:jc w:val="center"/>
        <w:rPr>
          <w:rFonts w:eastAsia="宋体"/>
          <w:color w:val="auto"/>
          <w:sz w:val="28"/>
          <w:szCs w:val="36"/>
          <w:highlight w:val="none"/>
        </w:rPr>
      </w:pPr>
    </w:p>
    <w:p w14:paraId="4B3796FA">
      <w:pPr>
        <w:jc w:val="center"/>
        <w:rPr>
          <w:rFonts w:eastAsia="宋体"/>
          <w:color w:val="auto"/>
          <w:sz w:val="28"/>
          <w:szCs w:val="36"/>
          <w:highlight w:val="none"/>
        </w:rPr>
      </w:pPr>
    </w:p>
    <w:p w14:paraId="7F6C7A16">
      <w:pPr>
        <w:jc w:val="center"/>
        <w:rPr>
          <w:rFonts w:eastAsia="宋体"/>
          <w:color w:val="auto"/>
          <w:sz w:val="28"/>
          <w:szCs w:val="36"/>
          <w:highlight w:val="none"/>
        </w:rPr>
      </w:pPr>
      <w:r>
        <w:rPr>
          <w:rFonts w:hint="eastAsia" w:eastAsia="宋体"/>
          <w:color w:val="auto"/>
          <w:sz w:val="28"/>
          <w:szCs w:val="36"/>
          <w:highlight w:val="none"/>
        </w:rPr>
        <w:t>温州市政府采购信用融资意向银行选择表</w:t>
      </w:r>
    </w:p>
    <w:p w14:paraId="0D8EB17D">
      <w:pPr>
        <w:jc w:val="center"/>
        <w:rPr>
          <w:rFonts w:eastAsia="宋体"/>
          <w:color w:val="auto"/>
          <w:sz w:val="28"/>
          <w:szCs w:val="36"/>
          <w:highlight w:val="none"/>
        </w:rPr>
      </w:pPr>
      <w:r>
        <w:rPr>
          <w:rFonts w:hint="eastAsia" w:eastAsia="宋体"/>
          <w:color w:val="auto"/>
          <w:sz w:val="24"/>
          <w:szCs w:val="32"/>
          <w:highlight w:val="none"/>
        </w:rPr>
        <w:t>（温州市供应商填写）</w:t>
      </w:r>
    </w:p>
    <w:tbl>
      <w:tblPr>
        <w:tblStyle w:val="31"/>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042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2D2FE576">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企业名称</w:t>
            </w:r>
          </w:p>
        </w:tc>
        <w:tc>
          <w:tcPr>
            <w:tcW w:w="7770" w:type="dxa"/>
            <w:gridSpan w:val="5"/>
            <w:vAlign w:val="center"/>
          </w:tcPr>
          <w:p w14:paraId="6215CBE0">
            <w:pPr>
              <w:spacing w:line="360" w:lineRule="auto"/>
              <w:jc w:val="center"/>
              <w:rPr>
                <w:rFonts w:ascii="宋体" w:eastAsia="宋体" w:cs="宋体"/>
                <w:color w:val="auto"/>
                <w:sz w:val="22"/>
                <w:szCs w:val="28"/>
                <w:highlight w:val="none"/>
              </w:rPr>
            </w:pPr>
          </w:p>
        </w:tc>
      </w:tr>
      <w:tr w14:paraId="5AF2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09F6F978">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企业注册地</w:t>
            </w:r>
          </w:p>
        </w:tc>
        <w:tc>
          <w:tcPr>
            <w:tcW w:w="4178" w:type="dxa"/>
            <w:gridSpan w:val="2"/>
            <w:vAlign w:val="center"/>
          </w:tcPr>
          <w:p w14:paraId="5D37CFA8">
            <w:pPr>
              <w:spacing w:line="360" w:lineRule="auto"/>
              <w:jc w:val="center"/>
              <w:rPr>
                <w:rFonts w:ascii="宋体" w:eastAsia="宋体" w:cs="宋体"/>
                <w:color w:val="auto"/>
                <w:sz w:val="22"/>
                <w:szCs w:val="28"/>
                <w:highlight w:val="none"/>
              </w:rPr>
            </w:pPr>
          </w:p>
        </w:tc>
        <w:tc>
          <w:tcPr>
            <w:tcW w:w="2732" w:type="dxa"/>
            <w:gridSpan w:val="2"/>
            <w:vAlign w:val="center"/>
          </w:tcPr>
          <w:p w14:paraId="6C51EA05">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是否有融资意向</w:t>
            </w:r>
          </w:p>
        </w:tc>
        <w:tc>
          <w:tcPr>
            <w:tcW w:w="860" w:type="dxa"/>
            <w:vAlign w:val="center"/>
          </w:tcPr>
          <w:p w14:paraId="202436BD">
            <w:pPr>
              <w:spacing w:line="360" w:lineRule="auto"/>
              <w:jc w:val="center"/>
              <w:rPr>
                <w:rFonts w:ascii="宋体" w:eastAsia="宋体" w:cs="宋体"/>
                <w:color w:val="auto"/>
                <w:sz w:val="22"/>
                <w:szCs w:val="28"/>
                <w:highlight w:val="none"/>
              </w:rPr>
            </w:pPr>
          </w:p>
        </w:tc>
      </w:tr>
      <w:tr w14:paraId="4A98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4656BBED">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融资联系人</w:t>
            </w:r>
          </w:p>
        </w:tc>
        <w:tc>
          <w:tcPr>
            <w:tcW w:w="2571" w:type="dxa"/>
            <w:vAlign w:val="center"/>
          </w:tcPr>
          <w:p w14:paraId="64F64752">
            <w:pPr>
              <w:spacing w:line="360" w:lineRule="auto"/>
              <w:jc w:val="center"/>
              <w:rPr>
                <w:rFonts w:ascii="宋体" w:eastAsia="宋体" w:cs="宋体"/>
                <w:color w:val="auto"/>
                <w:sz w:val="22"/>
                <w:szCs w:val="28"/>
                <w:highlight w:val="none"/>
              </w:rPr>
            </w:pPr>
          </w:p>
        </w:tc>
        <w:tc>
          <w:tcPr>
            <w:tcW w:w="2571" w:type="dxa"/>
            <w:gridSpan w:val="2"/>
            <w:vAlign w:val="center"/>
          </w:tcPr>
          <w:p w14:paraId="080671AA">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联系方式</w:t>
            </w:r>
          </w:p>
        </w:tc>
        <w:tc>
          <w:tcPr>
            <w:tcW w:w="2628" w:type="dxa"/>
            <w:gridSpan w:val="2"/>
            <w:vAlign w:val="center"/>
          </w:tcPr>
          <w:p w14:paraId="331E5474">
            <w:pPr>
              <w:spacing w:line="360" w:lineRule="auto"/>
              <w:jc w:val="center"/>
              <w:rPr>
                <w:rFonts w:ascii="宋体" w:eastAsia="宋体" w:cs="宋体"/>
                <w:color w:val="auto"/>
                <w:sz w:val="22"/>
                <w:szCs w:val="28"/>
                <w:highlight w:val="none"/>
              </w:rPr>
            </w:pPr>
          </w:p>
        </w:tc>
      </w:tr>
      <w:tr w14:paraId="5C06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624A2AF6">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温州市政府采购信用融资合作银行</w:t>
            </w:r>
          </w:p>
        </w:tc>
        <w:tc>
          <w:tcPr>
            <w:tcW w:w="2628" w:type="dxa"/>
            <w:gridSpan w:val="2"/>
          </w:tcPr>
          <w:p w14:paraId="5B427692">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选择作为意向融资银行（可多选）</w:t>
            </w:r>
          </w:p>
        </w:tc>
      </w:tr>
      <w:tr w14:paraId="52B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1B77077">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温州银行股份有限公司温州分行</w:t>
            </w:r>
          </w:p>
        </w:tc>
        <w:tc>
          <w:tcPr>
            <w:tcW w:w="2628" w:type="dxa"/>
            <w:gridSpan w:val="2"/>
          </w:tcPr>
          <w:p w14:paraId="5FDA8AAD">
            <w:pPr>
              <w:spacing w:line="360" w:lineRule="auto"/>
              <w:jc w:val="left"/>
              <w:rPr>
                <w:rFonts w:ascii="宋体" w:eastAsia="宋体" w:cs="宋体"/>
                <w:color w:val="auto"/>
                <w:sz w:val="24"/>
                <w:szCs w:val="30"/>
                <w:highlight w:val="none"/>
              </w:rPr>
            </w:pPr>
          </w:p>
        </w:tc>
      </w:tr>
      <w:tr w14:paraId="2563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EAABC5B">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温州银行股份有限公司鹿城分行</w:t>
            </w:r>
          </w:p>
        </w:tc>
        <w:tc>
          <w:tcPr>
            <w:tcW w:w="2628" w:type="dxa"/>
            <w:gridSpan w:val="2"/>
          </w:tcPr>
          <w:p w14:paraId="74668FBD">
            <w:pPr>
              <w:spacing w:line="360" w:lineRule="auto"/>
              <w:jc w:val="left"/>
              <w:rPr>
                <w:rFonts w:ascii="宋体" w:eastAsia="宋体" w:cs="宋体"/>
                <w:color w:val="auto"/>
                <w:sz w:val="24"/>
                <w:szCs w:val="30"/>
                <w:highlight w:val="none"/>
              </w:rPr>
            </w:pPr>
          </w:p>
        </w:tc>
      </w:tr>
      <w:tr w14:paraId="3A40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0776AC2">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中国工商银行股份有限公司温州分行</w:t>
            </w:r>
          </w:p>
        </w:tc>
        <w:tc>
          <w:tcPr>
            <w:tcW w:w="2628" w:type="dxa"/>
            <w:gridSpan w:val="2"/>
          </w:tcPr>
          <w:p w14:paraId="2EE5F16B">
            <w:pPr>
              <w:spacing w:line="360" w:lineRule="auto"/>
              <w:jc w:val="left"/>
              <w:rPr>
                <w:rFonts w:ascii="宋体" w:eastAsia="宋体" w:cs="宋体"/>
                <w:color w:val="auto"/>
                <w:sz w:val="24"/>
                <w:szCs w:val="30"/>
                <w:highlight w:val="none"/>
              </w:rPr>
            </w:pPr>
          </w:p>
        </w:tc>
      </w:tr>
      <w:tr w14:paraId="5A8B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D31CB97">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中国建设银行股份有限公司温州分行</w:t>
            </w:r>
          </w:p>
        </w:tc>
        <w:tc>
          <w:tcPr>
            <w:tcW w:w="2628" w:type="dxa"/>
            <w:gridSpan w:val="2"/>
          </w:tcPr>
          <w:p w14:paraId="66C8A59A">
            <w:pPr>
              <w:spacing w:line="360" w:lineRule="auto"/>
              <w:rPr>
                <w:rFonts w:ascii="宋体" w:eastAsia="宋体" w:cs="宋体"/>
                <w:color w:val="auto"/>
                <w:sz w:val="24"/>
                <w:szCs w:val="30"/>
                <w:highlight w:val="none"/>
              </w:rPr>
            </w:pPr>
          </w:p>
        </w:tc>
      </w:tr>
      <w:tr w14:paraId="43FE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44A75AF">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中国邮政储蓄银行股份有限公司温州市分行</w:t>
            </w:r>
          </w:p>
        </w:tc>
        <w:tc>
          <w:tcPr>
            <w:tcW w:w="2628" w:type="dxa"/>
            <w:gridSpan w:val="2"/>
          </w:tcPr>
          <w:p w14:paraId="2A495383">
            <w:pPr>
              <w:spacing w:line="360" w:lineRule="auto"/>
              <w:jc w:val="left"/>
              <w:rPr>
                <w:rFonts w:ascii="宋体" w:eastAsia="宋体" w:cs="宋体"/>
                <w:color w:val="auto"/>
                <w:sz w:val="24"/>
                <w:szCs w:val="30"/>
                <w:highlight w:val="none"/>
              </w:rPr>
            </w:pPr>
          </w:p>
        </w:tc>
      </w:tr>
      <w:tr w14:paraId="1583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FC548C9">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中国民生银行股份有限公司温州分行</w:t>
            </w:r>
          </w:p>
        </w:tc>
        <w:tc>
          <w:tcPr>
            <w:tcW w:w="2628" w:type="dxa"/>
            <w:gridSpan w:val="2"/>
          </w:tcPr>
          <w:p w14:paraId="75DF320C">
            <w:pPr>
              <w:spacing w:line="360" w:lineRule="auto"/>
              <w:jc w:val="left"/>
              <w:rPr>
                <w:rFonts w:ascii="宋体" w:eastAsia="宋体" w:cs="宋体"/>
                <w:color w:val="auto"/>
                <w:sz w:val="24"/>
                <w:szCs w:val="30"/>
                <w:highlight w:val="none"/>
              </w:rPr>
            </w:pPr>
          </w:p>
        </w:tc>
      </w:tr>
      <w:tr w14:paraId="3ACA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C8F9CA8">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宁波银行股份有限公司温州分行</w:t>
            </w:r>
          </w:p>
        </w:tc>
        <w:tc>
          <w:tcPr>
            <w:tcW w:w="2628" w:type="dxa"/>
            <w:gridSpan w:val="2"/>
          </w:tcPr>
          <w:p w14:paraId="1D00DD3B">
            <w:pPr>
              <w:spacing w:line="360" w:lineRule="auto"/>
              <w:jc w:val="left"/>
              <w:rPr>
                <w:rFonts w:ascii="宋体" w:eastAsia="宋体" w:cs="宋体"/>
                <w:color w:val="auto"/>
                <w:sz w:val="24"/>
                <w:szCs w:val="30"/>
                <w:highlight w:val="none"/>
              </w:rPr>
            </w:pPr>
          </w:p>
        </w:tc>
      </w:tr>
      <w:tr w14:paraId="6B1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5E6DA3">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杭州银行股份有限公司温州分行</w:t>
            </w:r>
          </w:p>
        </w:tc>
        <w:tc>
          <w:tcPr>
            <w:tcW w:w="2628" w:type="dxa"/>
            <w:gridSpan w:val="2"/>
          </w:tcPr>
          <w:p w14:paraId="54B3475C">
            <w:pPr>
              <w:spacing w:line="360" w:lineRule="auto"/>
              <w:jc w:val="left"/>
              <w:rPr>
                <w:rFonts w:ascii="宋体" w:eastAsia="宋体" w:cs="宋体"/>
                <w:color w:val="auto"/>
                <w:sz w:val="24"/>
                <w:szCs w:val="30"/>
                <w:highlight w:val="none"/>
              </w:rPr>
            </w:pPr>
          </w:p>
        </w:tc>
      </w:tr>
      <w:tr w14:paraId="53BE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45DC4C0">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招商银行股份有限公司温州分行</w:t>
            </w:r>
          </w:p>
        </w:tc>
        <w:tc>
          <w:tcPr>
            <w:tcW w:w="2628" w:type="dxa"/>
            <w:gridSpan w:val="2"/>
          </w:tcPr>
          <w:p w14:paraId="0BCA76B7">
            <w:pPr>
              <w:spacing w:line="360" w:lineRule="auto"/>
              <w:jc w:val="left"/>
              <w:rPr>
                <w:rFonts w:ascii="宋体" w:eastAsia="宋体" w:cs="宋体"/>
                <w:color w:val="auto"/>
                <w:sz w:val="24"/>
                <w:szCs w:val="30"/>
                <w:highlight w:val="none"/>
              </w:rPr>
            </w:pPr>
          </w:p>
        </w:tc>
      </w:tr>
      <w:tr w14:paraId="6BA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12EAF2E">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兴业银行股份有限公司温州分行</w:t>
            </w:r>
          </w:p>
        </w:tc>
        <w:tc>
          <w:tcPr>
            <w:tcW w:w="2628" w:type="dxa"/>
            <w:gridSpan w:val="2"/>
          </w:tcPr>
          <w:p w14:paraId="1ED0ADBC">
            <w:pPr>
              <w:spacing w:line="360" w:lineRule="auto"/>
              <w:jc w:val="left"/>
              <w:rPr>
                <w:rFonts w:ascii="宋体" w:eastAsia="宋体" w:cs="宋体"/>
                <w:color w:val="auto"/>
                <w:sz w:val="24"/>
                <w:szCs w:val="30"/>
                <w:highlight w:val="none"/>
              </w:rPr>
            </w:pPr>
          </w:p>
        </w:tc>
      </w:tr>
      <w:tr w14:paraId="2632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2EC9598">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交通银行股份有限公司温州分行</w:t>
            </w:r>
          </w:p>
        </w:tc>
        <w:tc>
          <w:tcPr>
            <w:tcW w:w="2628" w:type="dxa"/>
            <w:gridSpan w:val="2"/>
          </w:tcPr>
          <w:p w14:paraId="568D3A15">
            <w:pPr>
              <w:spacing w:line="360" w:lineRule="auto"/>
              <w:jc w:val="left"/>
              <w:rPr>
                <w:rFonts w:ascii="宋体" w:eastAsia="宋体" w:cs="宋体"/>
                <w:color w:val="auto"/>
                <w:sz w:val="24"/>
                <w:szCs w:val="30"/>
                <w:highlight w:val="none"/>
              </w:rPr>
            </w:pPr>
          </w:p>
        </w:tc>
      </w:tr>
      <w:tr w14:paraId="34EB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E7A3CA5">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上海浦东发展银行股份有限公司温州分行</w:t>
            </w:r>
          </w:p>
        </w:tc>
        <w:tc>
          <w:tcPr>
            <w:tcW w:w="2628" w:type="dxa"/>
            <w:gridSpan w:val="2"/>
          </w:tcPr>
          <w:p w14:paraId="480BA101">
            <w:pPr>
              <w:spacing w:line="360" w:lineRule="auto"/>
              <w:jc w:val="left"/>
              <w:rPr>
                <w:rFonts w:ascii="宋体" w:eastAsia="宋体" w:cs="宋体"/>
                <w:color w:val="auto"/>
                <w:sz w:val="24"/>
                <w:szCs w:val="30"/>
                <w:highlight w:val="none"/>
              </w:rPr>
            </w:pPr>
          </w:p>
        </w:tc>
      </w:tr>
    </w:tbl>
    <w:p w14:paraId="3602DC6F">
      <w:pPr>
        <w:spacing w:line="276" w:lineRule="auto"/>
        <w:rPr>
          <w:rFonts w:ascii="宋体" w:eastAsia="宋体"/>
          <w:color w:val="auto"/>
          <w:highlight w:val="none"/>
        </w:rPr>
      </w:pPr>
      <w:r>
        <w:rPr>
          <w:rFonts w:hint="eastAsia" w:ascii="宋体" w:eastAsia="宋体"/>
          <w:color w:val="auto"/>
          <w:highlight w:val="none"/>
        </w:rPr>
        <w:t>注：1、本表填写对象为注册地在温州市域内的供应商。</w:t>
      </w:r>
    </w:p>
    <w:p w14:paraId="716C2A98">
      <w:pPr>
        <w:numPr>
          <w:ilvl w:val="0"/>
          <w:numId w:val="12"/>
        </w:numPr>
        <w:rPr>
          <w:rFonts w:ascii="宋体"/>
          <w:color w:val="auto"/>
          <w:highlight w:val="none"/>
        </w:rPr>
      </w:pPr>
      <w:r>
        <w:rPr>
          <w:rFonts w:hint="eastAsia" w:ascii="宋体"/>
          <w:color w:val="auto"/>
          <w:highlight w:val="none"/>
        </w:rPr>
        <w:t>财政部门根据企业自行选择，将本表及企业相关信息推送至相对应的融资意向银行经办人。</w:t>
      </w:r>
    </w:p>
    <w:p w14:paraId="18A4BF17">
      <w:pPr>
        <w:pStyle w:val="5"/>
        <w:rPr>
          <w:color w:val="auto"/>
          <w:highlight w:val="none"/>
          <w:lang w:val="zh-CN"/>
        </w:rPr>
      </w:pPr>
    </w:p>
    <w:p w14:paraId="5CB2082E">
      <w:pPr>
        <w:pStyle w:val="4"/>
        <w:rPr>
          <w:color w:val="auto"/>
          <w:highlight w:val="none"/>
          <w:lang w:val="zh-CN"/>
        </w:rPr>
      </w:pPr>
    </w:p>
    <w:p w14:paraId="5B998E14">
      <w:pPr>
        <w:pStyle w:val="4"/>
        <w:rPr>
          <w:color w:val="auto"/>
          <w:highlight w:val="none"/>
          <w:lang w:val="zh-CN"/>
        </w:rPr>
      </w:pPr>
    </w:p>
    <w:p w14:paraId="4FE74CCF">
      <w:pPr>
        <w:pStyle w:val="6"/>
        <w:rPr>
          <w:color w:val="auto"/>
          <w:highlight w:val="none"/>
          <w:lang w:val="zh-CN"/>
        </w:rPr>
      </w:pPr>
    </w:p>
    <w:p w14:paraId="229F2D54">
      <w:pPr>
        <w:pStyle w:val="4"/>
        <w:rPr>
          <w:color w:val="auto"/>
          <w:highlight w:val="none"/>
          <w:lang w:val="zh-CN"/>
        </w:rPr>
      </w:pPr>
    </w:p>
    <w:p w14:paraId="1D850662">
      <w:pPr>
        <w:pStyle w:val="6"/>
        <w:rPr>
          <w:color w:val="auto"/>
          <w:highlight w:val="none"/>
          <w:lang w:val="zh-CN"/>
        </w:rPr>
      </w:pPr>
    </w:p>
    <w:p w14:paraId="6A75C33B">
      <w:pPr>
        <w:pStyle w:val="20"/>
        <w:ind w:firstLine="0"/>
        <w:rPr>
          <w:color w:val="auto"/>
          <w:highlight w:val="none"/>
          <w:lang w:val="zh-CN"/>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3E74DE6">
      <w:pPr>
        <w:numPr>
          <w:ilvl w:val="0"/>
          <w:numId w:val="13"/>
        </w:numPr>
        <w:snapToGrid w:val="0"/>
        <w:spacing w:line="460" w:lineRule="atLeast"/>
        <w:jc w:val="left"/>
        <w:outlineLvl w:val="0"/>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合同格式</w:t>
      </w:r>
    </w:p>
    <w:p w14:paraId="6889DFDE">
      <w:pPr>
        <w:snapToGrid w:val="0"/>
        <w:spacing w:line="460" w:lineRule="atLeast"/>
        <w:ind w:firstLine="2891" w:firstLineChars="900"/>
        <w:rPr>
          <w:rFonts w:ascii="宋体" w:hAnsi="宋体" w:eastAsia="宋体" w:cs="宋体"/>
          <w:b/>
          <w:bCs/>
          <w:color w:val="auto"/>
          <w:kern w:val="0"/>
          <w:sz w:val="32"/>
          <w:szCs w:val="32"/>
          <w:highlight w:val="none"/>
        </w:rPr>
      </w:pPr>
    </w:p>
    <w:p w14:paraId="26831E58">
      <w:pPr>
        <w:snapToGrid w:val="0"/>
        <w:spacing w:line="420" w:lineRule="exact"/>
        <w:jc w:val="center"/>
        <w:outlineLvl w:val="0"/>
        <w:rPr>
          <w:rFonts w:ascii="宋体" w:hAnsi="宋体" w:eastAsia="宋体" w:cs="宋体"/>
          <w:color w:val="auto"/>
          <w:kern w:val="0"/>
          <w:sz w:val="36"/>
          <w:szCs w:val="36"/>
          <w:highlight w:val="none"/>
        </w:rPr>
      </w:pPr>
      <w:r>
        <w:rPr>
          <w:rFonts w:hint="eastAsia" w:eastAsia="宋体" w:cs="Times New Roman"/>
          <w:color w:val="auto"/>
          <w:kern w:val="0"/>
          <w:sz w:val="36"/>
          <w:szCs w:val="20"/>
          <w:highlight w:val="none"/>
        </w:rPr>
        <w:t>（仅供参考）</w:t>
      </w:r>
    </w:p>
    <w:p w14:paraId="34BA2596">
      <w:pPr>
        <w:tabs>
          <w:tab w:val="left" w:pos="5580"/>
        </w:tabs>
        <w:spacing w:line="440" w:lineRule="exact"/>
        <w:ind w:right="560"/>
        <w:rPr>
          <w:rFonts w:ascii="宋体" w:hAnsi="宋体" w:eastAsia="宋体" w:cs="Times New Roman"/>
          <w:b/>
          <w:color w:val="auto"/>
          <w:kern w:val="0"/>
          <w:sz w:val="22"/>
          <w:szCs w:val="22"/>
          <w:highlight w:val="none"/>
          <w:lang w:val="zh-CN"/>
        </w:rPr>
      </w:pPr>
      <w:r>
        <w:rPr>
          <w:rFonts w:hint="eastAsia" w:ascii="宋体" w:hAnsi="宋体" w:eastAsia="宋体" w:cs="Times New Roman"/>
          <w:b/>
          <w:color w:val="auto"/>
          <w:kern w:val="0"/>
          <w:sz w:val="22"/>
          <w:szCs w:val="22"/>
          <w:highlight w:val="none"/>
          <w:lang w:val="zh-CN"/>
        </w:rPr>
        <w:t>甲方：</w:t>
      </w:r>
      <w:r>
        <w:rPr>
          <w:rFonts w:hint="eastAsia" w:ascii="宋体" w:hAnsi="宋体" w:eastAsia="宋体" w:cs="Times New Roman"/>
          <w:b/>
          <w:color w:val="auto"/>
          <w:kern w:val="0"/>
          <w:sz w:val="22"/>
          <w:szCs w:val="22"/>
          <w:highlight w:val="none"/>
          <w:u w:val="single"/>
          <w:lang w:val="zh-CN"/>
        </w:rPr>
        <w:t xml:space="preserve">                   </w:t>
      </w:r>
      <w:r>
        <w:rPr>
          <w:rFonts w:hint="eastAsia" w:ascii="宋体" w:hAnsi="宋体" w:eastAsia="宋体" w:cs="Times New Roman"/>
          <w:b/>
          <w:color w:val="auto"/>
          <w:kern w:val="0"/>
          <w:sz w:val="22"/>
          <w:szCs w:val="22"/>
          <w:highlight w:val="none"/>
          <w:lang w:val="zh-CN"/>
        </w:rPr>
        <w:t xml:space="preserve">      </w:t>
      </w:r>
    </w:p>
    <w:p w14:paraId="09075890">
      <w:pPr>
        <w:tabs>
          <w:tab w:val="left" w:pos="1651"/>
        </w:tabs>
        <w:adjustRightInd w:val="0"/>
        <w:snapToGrid w:val="0"/>
        <w:spacing w:line="440" w:lineRule="atLeast"/>
        <w:jc w:val="left"/>
        <w:rPr>
          <w:rFonts w:ascii="宋体" w:hAnsi="宋体" w:eastAsia="宋体" w:cs="Times New Roman"/>
          <w:color w:val="auto"/>
          <w:sz w:val="22"/>
          <w:szCs w:val="22"/>
          <w:highlight w:val="none"/>
          <w:u w:val="single"/>
          <w:lang w:val="zh-CN"/>
        </w:rPr>
      </w:pPr>
      <w:r>
        <w:rPr>
          <w:rFonts w:hint="eastAsia" w:ascii="宋体" w:hAnsi="宋体" w:eastAsia="宋体" w:cs="Times New Roman"/>
          <w:b/>
          <w:color w:val="auto"/>
          <w:sz w:val="22"/>
          <w:szCs w:val="22"/>
          <w:highlight w:val="none"/>
          <w:lang w:val="zh-CN"/>
        </w:rPr>
        <w:t>乙方：</w:t>
      </w:r>
      <w:r>
        <w:rPr>
          <w:rFonts w:hint="eastAsia" w:ascii="宋体" w:hAnsi="宋体" w:eastAsia="宋体" w:cs="Times New Roman"/>
          <w:b/>
          <w:color w:val="auto"/>
          <w:sz w:val="22"/>
          <w:szCs w:val="22"/>
          <w:highlight w:val="none"/>
          <w:u w:val="single"/>
          <w:lang w:val="zh-CN"/>
        </w:rPr>
        <w:t xml:space="preserve">                    </w:t>
      </w:r>
      <w:r>
        <w:rPr>
          <w:rFonts w:hint="eastAsia" w:ascii="宋体" w:hAnsi="宋体" w:eastAsia="宋体" w:cs="Times New Roman"/>
          <w:b/>
          <w:color w:val="auto"/>
          <w:sz w:val="22"/>
          <w:szCs w:val="22"/>
          <w:highlight w:val="none"/>
          <w:lang w:val="zh-CN"/>
        </w:rPr>
        <w:t xml:space="preserve">  </w:t>
      </w:r>
    </w:p>
    <w:p w14:paraId="089AA077">
      <w:pPr>
        <w:tabs>
          <w:tab w:val="left" w:pos="1651"/>
        </w:tabs>
        <w:adjustRightInd w:val="0"/>
        <w:snapToGrid w:val="0"/>
        <w:spacing w:line="440" w:lineRule="atLeast"/>
        <w:ind w:firstLine="431" w:firstLineChars="196"/>
        <w:jc w:val="left"/>
        <w:rPr>
          <w:rFonts w:ascii="宋体" w:hAnsi="宋体" w:eastAsia="宋体" w:cs="宋体"/>
          <w:bCs/>
          <w:color w:val="auto"/>
          <w:sz w:val="22"/>
          <w:szCs w:val="22"/>
          <w:highlight w:val="none"/>
        </w:rPr>
      </w:pPr>
      <w:r>
        <w:rPr>
          <w:rFonts w:ascii="宋体" w:hAnsi="宋体" w:eastAsia="宋体" w:cs="Times New Roman"/>
          <w:color w:val="auto"/>
          <w:sz w:val="22"/>
          <w:szCs w:val="22"/>
          <w:highlight w:val="none"/>
          <w:u w:val="single"/>
          <w:lang w:val="zh-CN"/>
        </w:rPr>
        <w:t xml:space="preserve">        </w:t>
      </w:r>
      <w:r>
        <w:rPr>
          <w:rFonts w:hint="eastAsia" w:ascii="宋体" w:hAnsi="宋体" w:eastAsia="宋体" w:cs="Times New Roman"/>
          <w:color w:val="auto"/>
          <w:sz w:val="22"/>
          <w:szCs w:val="22"/>
          <w:highlight w:val="none"/>
          <w:lang w:val="zh-CN"/>
        </w:rPr>
        <w:t>年</w:t>
      </w:r>
      <w:r>
        <w:rPr>
          <w:rFonts w:ascii="宋体" w:hAnsi="宋体" w:eastAsia="宋体" w:cs="Times New Roman"/>
          <w:color w:val="auto"/>
          <w:sz w:val="22"/>
          <w:szCs w:val="22"/>
          <w:highlight w:val="none"/>
          <w:u w:val="single"/>
          <w:lang w:val="zh-CN"/>
        </w:rPr>
        <w:t xml:space="preserve">    </w:t>
      </w:r>
      <w:r>
        <w:rPr>
          <w:rFonts w:hint="eastAsia" w:ascii="宋体" w:hAnsi="宋体" w:eastAsia="宋体" w:cs="Times New Roman"/>
          <w:color w:val="auto"/>
          <w:sz w:val="22"/>
          <w:szCs w:val="22"/>
          <w:highlight w:val="none"/>
          <w:lang w:val="zh-CN"/>
        </w:rPr>
        <w:t>月</w:t>
      </w:r>
      <w:r>
        <w:rPr>
          <w:rFonts w:ascii="宋体" w:hAnsi="宋体" w:eastAsia="宋体" w:cs="Times New Roman"/>
          <w:color w:val="auto"/>
          <w:sz w:val="22"/>
          <w:szCs w:val="22"/>
          <w:highlight w:val="none"/>
          <w:u w:val="single"/>
          <w:lang w:val="zh-CN"/>
        </w:rPr>
        <w:t xml:space="preserve">    </w:t>
      </w:r>
      <w:r>
        <w:rPr>
          <w:rFonts w:hint="eastAsia" w:ascii="宋体" w:hAnsi="宋体" w:eastAsia="宋体" w:cs="Times New Roman"/>
          <w:color w:val="auto"/>
          <w:sz w:val="22"/>
          <w:szCs w:val="22"/>
          <w:highlight w:val="none"/>
          <w:lang w:val="zh-CN"/>
        </w:rPr>
        <w:t>日</w:t>
      </w:r>
      <w:r>
        <w:rPr>
          <w:rFonts w:hint="eastAsia" w:ascii="宋体" w:hAnsi="宋体" w:eastAsia="宋体" w:cs="Times New Roman"/>
          <w:color w:val="auto"/>
          <w:sz w:val="22"/>
          <w:szCs w:val="22"/>
          <w:highlight w:val="none"/>
        </w:rPr>
        <w:t>，</w:t>
      </w:r>
      <w:r>
        <w:rPr>
          <w:rFonts w:hint="eastAsia" w:hAnsi="宋体" w:eastAsia="宋体" w:cs="宋体"/>
          <w:bCs/>
          <w:color w:val="auto"/>
          <w:sz w:val="22"/>
          <w:szCs w:val="22"/>
          <w:highlight w:val="none"/>
          <w:u w:val="single"/>
          <w:lang w:eastAsia="zh-CN"/>
        </w:rPr>
        <w:t>泰顺县自然资源和规划局</w:t>
      </w:r>
      <w:r>
        <w:rPr>
          <w:rFonts w:hint="eastAsia" w:ascii="宋体" w:hAnsi="宋体" w:eastAsia="宋体" w:cs="宋体"/>
          <w:bCs/>
          <w:color w:val="auto"/>
          <w:sz w:val="22"/>
          <w:szCs w:val="22"/>
          <w:highlight w:val="none"/>
        </w:rPr>
        <w:t>以</w:t>
      </w:r>
      <w:r>
        <w:rPr>
          <w:rFonts w:hint="eastAsia" w:hAnsi="宋体" w:eastAsia="宋体" w:cs="宋体"/>
          <w:bCs/>
          <w:color w:val="auto"/>
          <w:sz w:val="22"/>
          <w:szCs w:val="22"/>
          <w:highlight w:val="none"/>
          <w:u w:val="single"/>
        </w:rPr>
        <w:t>竞争性磋商方式</w:t>
      </w:r>
      <w:r>
        <w:rPr>
          <w:rFonts w:hint="eastAsia" w:hAnsi="宋体" w:eastAsia="宋体" w:cs="宋体"/>
          <w:bCs/>
          <w:color w:val="auto"/>
          <w:sz w:val="22"/>
          <w:szCs w:val="22"/>
          <w:highlight w:val="none"/>
        </w:rPr>
        <w:t>对</w:t>
      </w:r>
      <w:r>
        <w:rPr>
          <w:rFonts w:hint="eastAsia" w:hAnsi="宋体" w:eastAsia="宋体" w:cs="宋体"/>
          <w:bCs/>
          <w:color w:val="auto"/>
          <w:sz w:val="22"/>
          <w:szCs w:val="22"/>
          <w:highlight w:val="none"/>
          <w:u w:val="single"/>
          <w:lang w:eastAsia="zh-CN"/>
        </w:rPr>
        <w:t>泰顺县2025-2026年度国土变更调查项目</w:t>
      </w:r>
      <w:r>
        <w:rPr>
          <w:rFonts w:hint="eastAsia" w:ascii="宋体" w:hAnsi="宋体" w:eastAsia="宋体" w:cs="宋体"/>
          <w:bCs/>
          <w:color w:val="auto"/>
          <w:sz w:val="22"/>
          <w:szCs w:val="22"/>
          <w:highlight w:val="none"/>
        </w:rPr>
        <w:t>进行采购。</w:t>
      </w:r>
      <w:r>
        <w:rPr>
          <w:rFonts w:hint="eastAsia" w:ascii="宋体" w:hAnsi="宋体" w:eastAsia="宋体" w:cs="Times New Roman"/>
          <w:bCs/>
          <w:color w:val="auto"/>
          <w:sz w:val="22"/>
          <w:szCs w:val="22"/>
          <w:highlight w:val="none"/>
        </w:rPr>
        <w:t>经</w:t>
      </w:r>
      <w:r>
        <w:rPr>
          <w:rFonts w:hint="eastAsia" w:ascii="宋体" w:hAnsi="宋体" w:eastAsia="宋体" w:cs="Times New Roman"/>
          <w:bCs/>
          <w:color w:val="auto"/>
          <w:sz w:val="22"/>
          <w:szCs w:val="22"/>
          <w:highlight w:val="none"/>
          <w:u w:val="single"/>
        </w:rPr>
        <w:t>评标委员会</w:t>
      </w:r>
      <w:r>
        <w:rPr>
          <w:rFonts w:hint="eastAsia" w:ascii="宋体" w:hAnsi="宋体" w:eastAsia="宋体" w:cs="Times New Roman"/>
          <w:bCs/>
          <w:color w:val="auto"/>
          <w:sz w:val="22"/>
          <w:szCs w:val="22"/>
          <w:highlight w:val="none"/>
        </w:rPr>
        <w:t>评定，</w:t>
      </w:r>
      <w:r>
        <w:rPr>
          <w:rFonts w:ascii="宋体" w:hAnsi="宋体" w:eastAsia="宋体" w:cs="Times New Roman"/>
          <w:bCs/>
          <w:color w:val="auto"/>
          <w:sz w:val="22"/>
          <w:szCs w:val="22"/>
          <w:highlight w:val="none"/>
          <w:u w:val="single"/>
        </w:rPr>
        <w:t xml:space="preserve">   （中标供应商名称）</w:t>
      </w:r>
      <w:r>
        <w:rPr>
          <w:rFonts w:hint="eastAsia" w:ascii="宋体" w:hAnsi="宋体" w:eastAsia="宋体" w:cs="Times New Roman"/>
          <w:bCs/>
          <w:color w:val="auto"/>
          <w:sz w:val="22"/>
          <w:szCs w:val="22"/>
          <w:highlight w:val="none"/>
        </w:rPr>
        <w:t>为该项目中标供应商。现于中标通知书发出之日起三十日内，按照采购文件确定的事项签订本合同。</w:t>
      </w:r>
    </w:p>
    <w:p w14:paraId="55A12832">
      <w:pPr>
        <w:tabs>
          <w:tab w:val="left" w:pos="5580"/>
        </w:tabs>
        <w:spacing w:line="440" w:lineRule="exact"/>
        <w:ind w:right="560" w:firstLine="400" w:firstLineChars="200"/>
        <w:rPr>
          <w:rFonts w:ascii="宋体" w:hAnsi="宋体" w:eastAsia="宋体" w:cs="Times New Roman"/>
          <w:bCs/>
          <w:color w:val="auto"/>
          <w:kern w:val="0"/>
          <w:sz w:val="22"/>
          <w:szCs w:val="22"/>
          <w:highlight w:val="none"/>
          <w:lang w:val="zh-CN"/>
        </w:rPr>
      </w:pPr>
      <w:r>
        <w:rPr>
          <w:rFonts w:eastAsia="宋体" w:cs="Times New Roman"/>
          <w:color w:val="auto"/>
          <w:kern w:val="0"/>
          <w:sz w:val="20"/>
          <w:szCs w:val="21"/>
          <w:highlight w:val="none"/>
        </w:rPr>
        <w:t xml:space="preserve"> </w:t>
      </w:r>
      <w:bookmarkStart w:id="62" w:name="_Toc486577072"/>
      <w:r>
        <w:rPr>
          <w:rFonts w:eastAsia="宋体" w:cs="Times New Roman"/>
          <w:color w:val="auto"/>
          <w:kern w:val="0"/>
          <w:sz w:val="20"/>
          <w:szCs w:val="21"/>
          <w:highlight w:val="none"/>
        </w:rPr>
        <w:t xml:space="preserve"> </w:t>
      </w:r>
      <w:r>
        <w:rPr>
          <w:rFonts w:hint="eastAsia" w:ascii="宋体" w:hAnsi="宋体" w:eastAsia="宋体" w:cs="Times New Roman"/>
          <w:bCs/>
          <w:color w:val="auto"/>
          <w:kern w:val="0"/>
          <w:sz w:val="22"/>
          <w:szCs w:val="22"/>
          <w:highlight w:val="none"/>
          <w:lang w:val="zh-CN"/>
        </w:rPr>
        <w:t>根据《中华人民共和国民法典》、《中华人民共和国政府采购法》等相关法律法规之规定，按照平等、自愿、公平、诚实信用和绿色的原则，经</w:t>
      </w:r>
      <w:r>
        <w:rPr>
          <w:rFonts w:ascii="宋体" w:hAnsi="宋体" w:eastAsia="宋体" w:cs="Times New Roman"/>
          <w:bCs/>
          <w:color w:val="auto"/>
          <w:kern w:val="0"/>
          <w:sz w:val="22"/>
          <w:szCs w:val="22"/>
          <w:highlight w:val="none"/>
          <w:u w:val="single"/>
        </w:rPr>
        <w:t xml:space="preserve">   </w:t>
      </w:r>
      <w:r>
        <w:rPr>
          <w:rFonts w:hint="eastAsia" w:ascii="宋体" w:hAnsi="宋体" w:eastAsia="宋体" w:cs="Times New Roman"/>
          <w:bCs/>
          <w:color w:val="auto"/>
          <w:kern w:val="0"/>
          <w:sz w:val="22"/>
          <w:szCs w:val="22"/>
          <w:highlight w:val="none"/>
          <w:u w:val="single"/>
        </w:rPr>
        <w:t>（采购人）</w:t>
      </w:r>
      <w:r>
        <w:rPr>
          <w:rFonts w:ascii="宋体" w:hAnsi="宋体" w:eastAsia="宋体" w:cs="Times New Roman"/>
          <w:bCs/>
          <w:color w:val="auto"/>
          <w:kern w:val="0"/>
          <w:sz w:val="22"/>
          <w:szCs w:val="22"/>
          <w:highlight w:val="none"/>
          <w:u w:val="single"/>
        </w:rPr>
        <w:t xml:space="preserve">   </w:t>
      </w:r>
      <w:r>
        <w:rPr>
          <w:rFonts w:ascii="宋体" w:hAnsi="宋体" w:eastAsia="宋体" w:cs="Times New Roman"/>
          <w:bCs/>
          <w:color w:val="auto"/>
          <w:kern w:val="0"/>
          <w:sz w:val="22"/>
          <w:szCs w:val="22"/>
          <w:highlight w:val="none"/>
          <w:lang w:val="zh-CN"/>
        </w:rPr>
        <w:t>(以下简称：甲方)和</w:t>
      </w:r>
      <w:r>
        <w:rPr>
          <w:rFonts w:ascii="宋体" w:hAnsi="宋体" w:eastAsia="宋体" w:cs="Times New Roman"/>
          <w:bCs/>
          <w:color w:val="auto"/>
          <w:kern w:val="0"/>
          <w:sz w:val="22"/>
          <w:szCs w:val="22"/>
          <w:highlight w:val="none"/>
          <w:u w:val="single"/>
        </w:rPr>
        <w:t xml:space="preserve">   （中标供应商名称）   </w:t>
      </w:r>
      <w:r>
        <w:rPr>
          <w:rFonts w:ascii="宋体" w:hAnsi="宋体" w:eastAsia="宋体" w:cs="Times New Roman"/>
          <w:bCs/>
          <w:color w:val="auto"/>
          <w:kern w:val="0"/>
          <w:sz w:val="22"/>
          <w:szCs w:val="22"/>
          <w:highlight w:val="none"/>
          <w:lang w:val="zh-CN"/>
        </w:rPr>
        <w:t>(以下简称：乙方)协商一致，约定以下合同</w:t>
      </w:r>
      <w:r>
        <w:rPr>
          <w:rFonts w:hint="eastAsia" w:ascii="宋体" w:hAnsi="宋体" w:eastAsia="宋体" w:cs="Times New Roman"/>
          <w:bCs/>
          <w:color w:val="auto"/>
          <w:kern w:val="0"/>
          <w:sz w:val="22"/>
          <w:szCs w:val="22"/>
          <w:highlight w:val="none"/>
        </w:rPr>
        <w:t>条款，以兹共</w:t>
      </w:r>
      <w:r>
        <w:rPr>
          <w:rFonts w:hint="eastAsia" w:ascii="宋体" w:hAnsi="宋体" w:eastAsia="宋体" w:cs="Times New Roman"/>
          <w:bCs/>
          <w:color w:val="auto"/>
          <w:kern w:val="0"/>
          <w:sz w:val="22"/>
          <w:szCs w:val="22"/>
          <w:highlight w:val="none"/>
          <w:lang w:val="zh-CN"/>
        </w:rPr>
        <w:t>同遵守、全面履行。</w:t>
      </w:r>
    </w:p>
    <w:p w14:paraId="281ED204">
      <w:pPr>
        <w:spacing w:line="460" w:lineRule="exact"/>
        <w:outlineLvl w:val="1"/>
        <w:rPr>
          <w:rFonts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第一条　签订本合同的依据：</w:t>
      </w:r>
      <w:bookmarkEnd w:id="62"/>
    </w:p>
    <w:p w14:paraId="3264B271">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 国家及地方有关法规和规章。</w:t>
      </w:r>
    </w:p>
    <w:p w14:paraId="5885C204">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  政府采购公开招标：编号</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招标文件。</w:t>
      </w:r>
    </w:p>
    <w:p w14:paraId="57A775B2">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  乙方的投标文件。</w:t>
      </w:r>
    </w:p>
    <w:p w14:paraId="3C3330D9">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  中标通知书。</w:t>
      </w:r>
    </w:p>
    <w:p w14:paraId="6A25DDEC">
      <w:pPr>
        <w:spacing w:line="460" w:lineRule="exact"/>
        <w:outlineLvl w:val="1"/>
        <w:rPr>
          <w:rFonts w:ascii="新宋体" w:hAnsi="新宋体" w:eastAsia="新宋体" w:cs="新宋体"/>
          <w:b/>
          <w:bCs/>
          <w:color w:val="auto"/>
          <w:kern w:val="0"/>
          <w:sz w:val="22"/>
          <w:szCs w:val="22"/>
          <w:highlight w:val="none"/>
        </w:rPr>
      </w:pPr>
      <w:bookmarkStart w:id="63" w:name="_Toc486577073"/>
      <w:r>
        <w:rPr>
          <w:rFonts w:hint="eastAsia" w:ascii="新宋体" w:hAnsi="新宋体" w:eastAsia="新宋体" w:cs="新宋体"/>
          <w:b/>
          <w:bCs/>
          <w:color w:val="auto"/>
          <w:kern w:val="0"/>
          <w:sz w:val="22"/>
          <w:szCs w:val="22"/>
          <w:highlight w:val="none"/>
        </w:rPr>
        <w:t>第二条  本合同委托的具体内容：</w:t>
      </w:r>
      <w:bookmarkEnd w:id="63"/>
    </w:p>
    <w:p w14:paraId="286BBAF9">
      <w:pPr>
        <w:spacing w:line="460" w:lineRule="exact"/>
        <w:ind w:firstLine="550" w:firstLineChars="250"/>
        <w:rPr>
          <w:rFonts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2.1  项目名称：</w:t>
      </w:r>
    </w:p>
    <w:p w14:paraId="036F2D32">
      <w:pPr>
        <w:spacing w:line="460" w:lineRule="exact"/>
        <w:ind w:firstLine="550" w:firstLineChars="250"/>
        <w:rPr>
          <w:rFonts w:ascii="新宋体" w:hAnsi="新宋体" w:eastAsia="新宋体" w:cs="新宋体"/>
          <w:color w:val="auto"/>
          <w:kern w:val="28"/>
          <w:sz w:val="22"/>
          <w:szCs w:val="22"/>
          <w:highlight w:val="none"/>
          <w:u w:val="single"/>
        </w:rPr>
      </w:pPr>
      <w:r>
        <w:rPr>
          <w:rFonts w:hint="eastAsia" w:ascii="新宋体" w:hAnsi="新宋体" w:eastAsia="新宋体" w:cs="新宋体"/>
          <w:color w:val="auto"/>
          <w:kern w:val="0"/>
          <w:sz w:val="22"/>
          <w:szCs w:val="22"/>
          <w:highlight w:val="none"/>
        </w:rPr>
        <w:t xml:space="preserve">2.2  </w:t>
      </w:r>
      <w:r>
        <w:rPr>
          <w:rFonts w:hint="eastAsia" w:ascii="新宋体" w:hAnsi="新宋体" w:eastAsia="新宋体" w:cs="新宋体"/>
          <w:color w:val="auto"/>
          <w:kern w:val="0"/>
          <w:sz w:val="22"/>
          <w:szCs w:val="22"/>
          <w:highlight w:val="none"/>
          <w:u w:val="single"/>
        </w:rPr>
        <w:t>完成时限</w:t>
      </w:r>
      <w:r>
        <w:rPr>
          <w:rFonts w:hint="eastAsia" w:ascii="新宋体" w:hAnsi="新宋体" w:eastAsia="新宋体" w:cs="新宋体"/>
          <w:color w:val="auto"/>
          <w:kern w:val="0"/>
          <w:sz w:val="22"/>
          <w:szCs w:val="22"/>
          <w:highlight w:val="none"/>
        </w:rPr>
        <w:t>：</w:t>
      </w:r>
    </w:p>
    <w:p w14:paraId="42CAA529">
      <w:pPr>
        <w:spacing w:line="460" w:lineRule="exact"/>
        <w:ind w:firstLine="550" w:firstLineChars="250"/>
        <w:rPr>
          <w:rFonts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2.3  服务内容：</w:t>
      </w:r>
    </w:p>
    <w:p w14:paraId="685AD8B1">
      <w:pPr>
        <w:spacing w:line="460" w:lineRule="exact"/>
        <w:outlineLvl w:val="1"/>
        <w:rPr>
          <w:rFonts w:ascii="新宋体" w:hAnsi="新宋体" w:eastAsia="新宋体" w:cs="新宋体"/>
          <w:b/>
          <w:bCs/>
          <w:color w:val="auto"/>
          <w:kern w:val="0"/>
          <w:sz w:val="22"/>
          <w:szCs w:val="22"/>
          <w:highlight w:val="none"/>
        </w:rPr>
      </w:pPr>
      <w:bookmarkStart w:id="64" w:name="_Toc486577074"/>
      <w:r>
        <w:rPr>
          <w:rFonts w:hint="eastAsia" w:ascii="新宋体" w:hAnsi="新宋体" w:eastAsia="新宋体" w:cs="新宋体"/>
          <w:b/>
          <w:bCs/>
          <w:color w:val="auto"/>
          <w:kern w:val="0"/>
          <w:sz w:val="22"/>
          <w:szCs w:val="22"/>
          <w:highlight w:val="none"/>
        </w:rPr>
        <w:t>第三条  乙方应向甲方交付的应完成的各阶段工作及成果文件的资料及时间</w:t>
      </w:r>
      <w:bookmarkEnd w:id="64"/>
    </w:p>
    <w:p w14:paraId="1E89C866">
      <w:pPr>
        <w:spacing w:line="460" w:lineRule="exact"/>
        <w:ind w:firstLine="440" w:firstLineChars="200"/>
        <w:outlineLvl w:val="1"/>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2026年1月15日前，报送2025年度变更调查更新数据增量包；2026年1月底前，2025年度国土变更调查数据库成果通过省级核查。2026年12月31日前，按照日常变更需要分批次向省级报送日常变更调查成果；如涉及上级主管部门对项目有其他时间要求的，以实际要求为准。2026年度变更调查工作成果时间以上级自然资源主管部门最新要求为准。</w:t>
      </w:r>
    </w:p>
    <w:p w14:paraId="3F48DDA7">
      <w:pPr>
        <w:spacing w:line="460" w:lineRule="exact"/>
        <w:outlineLvl w:val="1"/>
        <w:rPr>
          <w:rFonts w:ascii="新宋体" w:hAnsi="新宋体" w:eastAsia="新宋体" w:cs="新宋体"/>
          <w:b/>
          <w:bCs/>
          <w:color w:val="auto"/>
          <w:kern w:val="0"/>
          <w:sz w:val="22"/>
          <w:szCs w:val="22"/>
          <w:highlight w:val="none"/>
        </w:rPr>
      </w:pPr>
      <w:r>
        <w:rPr>
          <w:rFonts w:hint="eastAsia" w:ascii="宋体" w:hAnsi="宋体" w:eastAsia="宋体" w:cs="宋体"/>
          <w:bCs/>
          <w:color w:val="auto"/>
          <w:kern w:val="0"/>
          <w:sz w:val="22"/>
          <w:szCs w:val="22"/>
          <w:highlight w:val="none"/>
        </w:rPr>
        <w:t xml:space="preserve">第四条  </w:t>
      </w:r>
      <w:r>
        <w:rPr>
          <w:rFonts w:hint="eastAsia" w:ascii="新宋体" w:hAnsi="新宋体" w:eastAsia="新宋体" w:cs="新宋体"/>
          <w:b/>
          <w:bCs/>
          <w:color w:val="auto"/>
          <w:kern w:val="0"/>
          <w:sz w:val="22"/>
          <w:szCs w:val="22"/>
          <w:highlight w:val="none"/>
        </w:rPr>
        <w:t>合同价款及付款方式</w:t>
      </w:r>
    </w:p>
    <w:p w14:paraId="64C22E97">
      <w:pPr>
        <w:tabs>
          <w:tab w:val="left" w:pos="993"/>
        </w:tabs>
        <w:spacing w:line="460" w:lineRule="exact"/>
        <w:ind w:left="426"/>
        <w:outlineLvl w:val="2"/>
        <w:rPr>
          <w:rFonts w:ascii="新宋体" w:hAnsi="新宋体" w:eastAsia="新宋体" w:cs="新宋体"/>
          <w:color w:val="auto"/>
          <w:kern w:val="0"/>
          <w:sz w:val="22"/>
          <w:szCs w:val="22"/>
          <w:highlight w:val="none"/>
        </w:rPr>
      </w:pPr>
      <w:bookmarkStart w:id="65" w:name="_Toc486577078"/>
      <w:r>
        <w:rPr>
          <w:rFonts w:hint="eastAsia" w:ascii="新宋体" w:hAnsi="新宋体" w:eastAsia="新宋体" w:cs="新宋体"/>
          <w:color w:val="auto"/>
          <w:kern w:val="0"/>
          <w:sz w:val="22"/>
          <w:szCs w:val="22"/>
          <w:highlight w:val="none"/>
        </w:rPr>
        <w:t>4.1  合同价款：</w:t>
      </w:r>
      <w:bookmarkEnd w:id="65"/>
    </w:p>
    <w:p w14:paraId="0686398E">
      <w:pPr>
        <w:tabs>
          <w:tab w:val="left" w:pos="993"/>
        </w:tabs>
        <w:spacing w:line="460" w:lineRule="exact"/>
        <w:ind w:left="426"/>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根据中标通知书，合同价款为：（人民币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w:t>
      </w:r>
    </w:p>
    <w:p w14:paraId="5B51394F">
      <w:pPr>
        <w:adjustRightInd w:val="0"/>
        <w:snapToGrid w:val="0"/>
        <w:spacing w:line="440" w:lineRule="atLeast"/>
        <w:ind w:firstLine="220" w:firstLineChars="100"/>
        <w:outlineLvl w:val="2"/>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4.2付款方式：</w:t>
      </w:r>
    </w:p>
    <w:p w14:paraId="688FE633">
      <w:pPr>
        <w:snapToGrid w:val="0"/>
        <w:spacing w:line="400" w:lineRule="exact"/>
        <w:ind w:firstLine="442" w:firstLineChars="200"/>
        <w:rPr>
          <w:rFonts w:hint="eastAsia"/>
          <w:b/>
          <w:bCs/>
          <w:color w:val="auto"/>
          <w:sz w:val="22"/>
          <w:szCs w:val="22"/>
          <w:highlight w:val="none"/>
        </w:rPr>
      </w:pPr>
      <w:r>
        <w:rPr>
          <w:rFonts w:hint="eastAsia"/>
          <w:b/>
          <w:bCs/>
          <w:color w:val="auto"/>
          <w:sz w:val="22"/>
          <w:szCs w:val="22"/>
          <w:highlight w:val="none"/>
        </w:rPr>
        <w:t>付款方式：（实际支付以财政拨款为准）</w:t>
      </w:r>
    </w:p>
    <w:p w14:paraId="503F5DBA">
      <w:pPr>
        <w:widowControl/>
        <w:spacing w:line="4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1.履约保证金：合同总价的1％作为履约保证金，签订合同后5个工作日内由成交人交入采购人帐户（履约保证金可以以银行转账、由银行或保险公司出具的保函保单等形式），待项目全部内容验收合格后的7个工作日内由采购人退还成交人。</w:t>
      </w:r>
    </w:p>
    <w:p w14:paraId="65F5BD9C">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2.合同生效且具备支付条件后，甲方在7个工作日内支付年度合同金额(即合同金额/2)的40%作为预付款，年度项目完工，验收合格后收到乙方开具的发票后7个工作日内支付至年度合同金额的100%。</w:t>
      </w:r>
    </w:p>
    <w:p w14:paraId="056AFE98">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3.2026年度项目工作开始实施且具备支付条件后，甲方在7个工作日内支付年度合同金额(即合同金额/2)的40%作为预付款，年度项目完工，验收合格后收到乙方开具的发票后7个工作日内支付至年度合同金额的100%。</w:t>
      </w:r>
    </w:p>
    <w:p w14:paraId="2C78BEE7">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注：付款前中标单位应按规定向采购人开具正规发票。</w:t>
      </w:r>
    </w:p>
    <w:p w14:paraId="10DFD84E">
      <w:pPr>
        <w:spacing w:line="460" w:lineRule="exact"/>
        <w:ind w:firstLine="442" w:firstLineChars="200"/>
        <w:outlineLvl w:val="1"/>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第五条 甲方责任：</w:t>
      </w:r>
    </w:p>
    <w:p w14:paraId="7220DDC7">
      <w:pPr>
        <w:tabs>
          <w:tab w:val="left" w:pos="993"/>
        </w:tabs>
        <w:spacing w:line="460" w:lineRule="exact"/>
        <w:ind w:left="426"/>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5.1甲方应当根据本合同第四条规定向乙方支付服务费。</w:t>
      </w:r>
    </w:p>
    <w:p w14:paraId="385235C0">
      <w:pPr>
        <w:tabs>
          <w:tab w:val="left" w:pos="993"/>
        </w:tabs>
        <w:spacing w:line="460" w:lineRule="exact"/>
        <w:ind w:left="426"/>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5.2负责组织各阶段工作或成果的评审会议。</w:t>
      </w:r>
    </w:p>
    <w:p w14:paraId="643150F0">
      <w:pPr>
        <w:spacing w:line="460" w:lineRule="exact"/>
        <w:ind w:firstLine="442" w:firstLineChars="200"/>
        <w:outlineLvl w:val="1"/>
        <w:rPr>
          <w:rFonts w:ascii="新宋体" w:hAnsi="新宋体" w:eastAsia="新宋体" w:cs="新宋体"/>
          <w:b/>
          <w:bCs/>
          <w:color w:val="auto"/>
          <w:kern w:val="0"/>
          <w:sz w:val="22"/>
          <w:szCs w:val="22"/>
          <w:highlight w:val="none"/>
        </w:rPr>
      </w:pPr>
      <w:bookmarkStart w:id="66" w:name="_Toc486577081"/>
      <w:r>
        <w:rPr>
          <w:rFonts w:hint="eastAsia" w:ascii="新宋体" w:hAnsi="新宋体" w:eastAsia="新宋体" w:cs="新宋体"/>
          <w:b/>
          <w:bCs/>
          <w:color w:val="auto"/>
          <w:kern w:val="0"/>
          <w:sz w:val="22"/>
          <w:szCs w:val="22"/>
          <w:highlight w:val="none"/>
        </w:rPr>
        <w:t>第六条　乙方责任：</w:t>
      </w:r>
      <w:bookmarkEnd w:id="66"/>
    </w:p>
    <w:p w14:paraId="780E0F74">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6.1  乙方应依据国家、省、市现行有关法规和技术规范、标准及甲方的委托，完成本项目。</w:t>
      </w:r>
    </w:p>
    <w:p w14:paraId="505DBAE2">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6.2 乙方按本合同第二条和第三条规定的工作内容及成果文件、进度、份数，向甲方提交汇报资料及成果文件。</w:t>
      </w:r>
    </w:p>
    <w:p w14:paraId="7E336817">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6.3 乙方负责创建工作及成果汇报。</w:t>
      </w:r>
    </w:p>
    <w:p w14:paraId="16E7200C">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6.4乙方应根据评审会议纪要、成果评审意见修改和完善成果。</w:t>
      </w:r>
    </w:p>
    <w:p w14:paraId="17CDC1F1">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6.5  乙方应负责对甲方所提供的相关资料及电子数据承担保密义务，未经甲方许可不得对外泄漏。</w:t>
      </w:r>
    </w:p>
    <w:p w14:paraId="28C2CA4B">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6.6  不得向任何第三方转让本合同项下的项目。</w:t>
      </w:r>
    </w:p>
    <w:p w14:paraId="64B2A0C7">
      <w:pPr>
        <w:spacing w:line="460" w:lineRule="exact"/>
        <w:ind w:firstLine="442" w:firstLineChars="200"/>
        <w:outlineLvl w:val="1"/>
        <w:rPr>
          <w:rFonts w:ascii="新宋体" w:hAnsi="新宋体" w:eastAsia="新宋体" w:cs="新宋体"/>
          <w:b/>
          <w:bCs/>
          <w:color w:val="auto"/>
          <w:kern w:val="0"/>
          <w:sz w:val="22"/>
          <w:szCs w:val="22"/>
          <w:highlight w:val="none"/>
        </w:rPr>
      </w:pPr>
      <w:bookmarkStart w:id="67" w:name="_Toc486577082"/>
      <w:r>
        <w:rPr>
          <w:rFonts w:hint="eastAsia" w:ascii="新宋体" w:hAnsi="新宋体" w:eastAsia="新宋体" w:cs="新宋体"/>
          <w:b/>
          <w:bCs/>
          <w:color w:val="auto"/>
          <w:kern w:val="0"/>
          <w:sz w:val="22"/>
          <w:szCs w:val="22"/>
          <w:highlight w:val="none"/>
        </w:rPr>
        <w:t>第七条　违约责任：</w:t>
      </w:r>
      <w:bookmarkEnd w:id="67"/>
    </w:p>
    <w:p w14:paraId="25CDCEAA">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7.1在合同签订后，如果甲方要求终止或解除合同，乙方未开始工作的，则甲方不对乙方进行</w:t>
      </w:r>
      <w:r>
        <w:rPr>
          <w:rFonts w:hint="eastAsia" w:ascii="新宋体" w:hAnsi="新宋体" w:eastAsia="新宋体" w:cs="新宋体"/>
          <w:color w:val="auto"/>
          <w:spacing w:val="6"/>
          <w:kern w:val="0"/>
          <w:sz w:val="22"/>
          <w:szCs w:val="22"/>
          <w:highlight w:val="none"/>
        </w:rPr>
        <w:t>补偿</w:t>
      </w:r>
      <w:r>
        <w:rPr>
          <w:rFonts w:hint="eastAsia" w:ascii="新宋体" w:hAnsi="新宋体" w:eastAsia="新宋体" w:cs="新宋体"/>
          <w:color w:val="auto"/>
          <w:kern w:val="0"/>
          <w:sz w:val="22"/>
          <w:szCs w:val="22"/>
          <w:highlight w:val="none"/>
        </w:rPr>
        <w:t>；乙方已开始工作的，甲方应根据乙方已进行的实际工作量结算。</w:t>
      </w:r>
    </w:p>
    <w:p w14:paraId="747021F6">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7.2  甲方应按本合同第四条规定的金额和时间，向乙方支付费用。逾期超过15天以上，乙方有权暂停履行下阶段工作，并书面通知甲方。恢复工作后，乙方提交各阶段成果文件的时间按本合同第三条规定的时间顺延。</w:t>
      </w:r>
    </w:p>
    <w:p w14:paraId="4F0086C9">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7.3  由于乙方自身原因，延误了按本合同第三条规定的相关文件的交付时间，逾期三十天，甲方有权单方解除合同并以书面形式通知乙方，不予支付剩余服务费。</w:t>
      </w:r>
    </w:p>
    <w:p w14:paraId="23A1BC87">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  合同生效后，乙方有下列行为之一的，乙方应退回甲方已付费用，并赔偿甲方的经济损失。</w:t>
      </w:r>
    </w:p>
    <w:p w14:paraId="2E2A1925">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7.4.1 因乙方的违约行为致使本合同无法履行，甲方有权单方解除合同的；</w:t>
      </w:r>
    </w:p>
    <w:p w14:paraId="6FC5E919">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7.4.2 乙方要求终止或解除合同的；</w:t>
      </w:r>
    </w:p>
    <w:p w14:paraId="29844C4E">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7.4.3 乙方向任何第三方转让合同项目的。</w:t>
      </w:r>
    </w:p>
    <w:p w14:paraId="3E08DA5A">
      <w:pPr>
        <w:spacing w:line="460" w:lineRule="exact"/>
        <w:ind w:firstLine="442" w:firstLineChars="200"/>
        <w:outlineLvl w:val="1"/>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第八条  知识产权和使用权</w:t>
      </w:r>
    </w:p>
    <w:p w14:paraId="1A46629F">
      <w:pPr>
        <w:spacing w:line="460" w:lineRule="exact"/>
        <w:ind w:firstLine="440" w:firstLineChars="200"/>
        <w:outlineLvl w:val="2"/>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8.1知识产权和使用权</w:t>
      </w:r>
    </w:p>
    <w:p w14:paraId="0FEDA3EF">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乙方提供成果及服务必须符合国家有关规定和标准规范，没有侵犯第三人的合法权利和涉及他方的诉讼。</w:t>
      </w:r>
    </w:p>
    <w:p w14:paraId="1EBE8079">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乙方为执行本合同而提供的资料及成果所有权、使用权归甲方所有。乙方保留该成果的署名权以及使用项目形象和资料进行非商业用途的专业推广和出版的权利。</w:t>
      </w:r>
    </w:p>
    <w:p w14:paraId="7A02FC8E">
      <w:pPr>
        <w:spacing w:line="460" w:lineRule="exact"/>
        <w:ind w:firstLine="440" w:firstLineChars="200"/>
        <w:outlineLvl w:val="2"/>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8.2侵权责任</w:t>
      </w:r>
    </w:p>
    <w:p w14:paraId="12AA556C">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若甲方因使用乙方提供的产品/服务/数据而受到第三方提出的侵犯其专利权、商标权、著作权或其它知识产权的起诉，乙方负责由此引发的一切赔偿要求及相关费用，且甲方保留要求乙方赔偿的权利。</w:t>
      </w:r>
    </w:p>
    <w:p w14:paraId="4474D352">
      <w:pPr>
        <w:spacing w:line="460" w:lineRule="exact"/>
        <w:ind w:firstLine="440" w:firstLineChars="200"/>
        <w:outlineLvl w:val="2"/>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8.3保密</w:t>
      </w:r>
    </w:p>
    <w:p w14:paraId="2DBAB6C1">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8.3.1信息传递</w:t>
      </w:r>
    </w:p>
    <w:p w14:paraId="14F76935">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在本合同的履行期内，任何一方可以获得与本项目相关的对方的商业秘密，对此双方皆应谨慎地进行披露和接受。</w:t>
      </w:r>
    </w:p>
    <w:p w14:paraId="4EF6E204">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8.3.2保密</w:t>
      </w:r>
    </w:p>
    <w:p w14:paraId="25D0D74F">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获取对方商业秘密的一方仅可将该商业秘密用于履行其在本合同项下的义务，且只能由相关的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年内不得对外披露。 </w:t>
      </w:r>
    </w:p>
    <w:p w14:paraId="6432EC2A">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8.3.3任何一方可以根据其经营需要对外披露本合同的存在或其性质，但本合同的具体条款属于保密范围，未经对方的同意，不得向第三方披露。但以下情况除外：</w:t>
      </w:r>
    </w:p>
    <w:p w14:paraId="52E96B44">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（1）法院或政府有关部门的要求；</w:t>
      </w:r>
    </w:p>
    <w:p w14:paraId="6BC4D4EB">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（2）法律规定；</w:t>
      </w:r>
    </w:p>
    <w:p w14:paraId="701AC341">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（3）一方向为自己服务的法律顾问披露；</w:t>
      </w:r>
    </w:p>
    <w:p w14:paraId="3D84CFAA">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（4）一方向为自己服务的会计、银行、其他的金融机构及其顾问（采取保密措施）披露；</w:t>
      </w:r>
    </w:p>
    <w:p w14:paraId="50F97A97">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（5）当事人实施收购、兼并或相类似的行为（采取保密措施）。</w:t>
      </w:r>
    </w:p>
    <w:p w14:paraId="0656D754">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8.3.4上述保密义务不适用以下情况</w:t>
      </w:r>
    </w:p>
    <w:p w14:paraId="2954B2E1">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（1）获取该信息一方在对方披露之前，已经知晓该信息；</w:t>
      </w:r>
    </w:p>
    <w:p w14:paraId="2E69552D">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（2）获取该信息一方可以通过合法渠道获取该信息；</w:t>
      </w:r>
    </w:p>
    <w:p w14:paraId="573F3E9D">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（3）获取该信息一方从第三人处合法获取，并且不承担保密义务；</w:t>
      </w:r>
    </w:p>
    <w:p w14:paraId="71C97A73">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（4）向第三人披露过的，且第三人不承担保密义务；</w:t>
      </w:r>
    </w:p>
    <w:p w14:paraId="6872723C">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（5）独立开发或获取的信息；</w:t>
      </w:r>
    </w:p>
    <w:p w14:paraId="615456BB">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（6）法律强制披露； </w:t>
      </w:r>
    </w:p>
    <w:p w14:paraId="67D294C3">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（7）经披露方书面许可。</w:t>
      </w:r>
    </w:p>
    <w:p w14:paraId="6B76B62E">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8.3.5信息安全</w:t>
      </w:r>
    </w:p>
    <w:p w14:paraId="09705309">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甲、乙双方同意采取相应的安全措施以遵守和履行上述条款所规定的义务。经一方的合理请求，该方可以检查对方所采取的安全措施是否符合上述规定的义务。</w:t>
      </w:r>
    </w:p>
    <w:p w14:paraId="472005C7">
      <w:pPr>
        <w:spacing w:line="460" w:lineRule="exact"/>
        <w:ind w:firstLine="442" w:firstLineChars="200"/>
        <w:outlineLvl w:val="1"/>
        <w:rPr>
          <w:rFonts w:ascii="新宋体" w:hAnsi="新宋体" w:eastAsia="新宋体" w:cs="新宋体"/>
          <w:b/>
          <w:bCs/>
          <w:color w:val="auto"/>
          <w:kern w:val="0"/>
          <w:sz w:val="22"/>
          <w:szCs w:val="22"/>
          <w:highlight w:val="none"/>
        </w:rPr>
      </w:pPr>
      <w:bookmarkStart w:id="68" w:name="_Toc486577083"/>
      <w:r>
        <w:rPr>
          <w:rFonts w:hint="eastAsia" w:ascii="新宋体" w:hAnsi="新宋体" w:eastAsia="新宋体" w:cs="新宋体"/>
          <w:b/>
          <w:bCs/>
          <w:color w:val="auto"/>
          <w:kern w:val="0"/>
          <w:sz w:val="22"/>
          <w:szCs w:val="22"/>
          <w:highlight w:val="none"/>
        </w:rPr>
        <w:t>第九条　其他</w:t>
      </w:r>
      <w:bookmarkEnd w:id="68"/>
    </w:p>
    <w:p w14:paraId="0DC0D218">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9.1 项目实施各阶段乙方需进行的调研、考察费用，以及在工作期间的交通、食宿等费用由乙方承担，已包括在合同总价内。</w:t>
      </w:r>
    </w:p>
    <w:p w14:paraId="1BAD0CCE">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9.2  各阶段工作汇报资料、培训资料、成果印制费用由乙方承担。</w:t>
      </w:r>
    </w:p>
    <w:p w14:paraId="496A432D">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9.3  由于不可抗拒因素致使合同无法履行时，各方应及时协商解决。</w:t>
      </w:r>
    </w:p>
    <w:p w14:paraId="48692D51">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9.4  本合同在履行过程中发生争议，各方负责人应及时协商解决。协商不成时，可提交温州仲裁委员会仲裁。</w:t>
      </w:r>
    </w:p>
    <w:p w14:paraId="55930629">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9.5本合同经各方法定代表人或委托代理人签字并加盖公章之日起生效，一式柒份，甲方叁份，乙方叁份，招标代理壹份。双方履行完合同规定的义务后，本合同即行终止。</w:t>
      </w:r>
    </w:p>
    <w:p w14:paraId="07EF8F84">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9.6  本合同未尽事宜，可签订补充协议，甲方的招标文件、乙方的投标文件、有关协议及双方认可的来往电报、传真、会议纪要等，均为本合同组成部分，与本合同具有同等法律效力。</w:t>
      </w:r>
    </w:p>
    <w:p w14:paraId="0C4F488E">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    方：（印章）                    乙    方：（印章）</w:t>
      </w:r>
    </w:p>
    <w:p w14:paraId="48C18506">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全权代表：（签字或盖章）              全权代表：（签字或盖章）</w:t>
      </w:r>
    </w:p>
    <w:p w14:paraId="23FDC2C7">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地    址：                            地    址：</w:t>
      </w:r>
    </w:p>
    <w:p w14:paraId="737D6EA3">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邮政编码：                            邮政编码：</w:t>
      </w:r>
    </w:p>
    <w:p w14:paraId="11639039">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    话：                            电    话：</w:t>
      </w:r>
    </w:p>
    <w:p w14:paraId="19450868">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传    真：                            传    真：</w:t>
      </w:r>
    </w:p>
    <w:p w14:paraId="314866DE">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开户银行：                            开户银行：</w:t>
      </w:r>
    </w:p>
    <w:p w14:paraId="5B16E107">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账    号：                            账    号：</w:t>
      </w:r>
    </w:p>
    <w:p w14:paraId="3DE534AD">
      <w:pPr>
        <w:snapToGrid w:val="0"/>
        <w:spacing w:line="400" w:lineRule="exact"/>
        <w:rPr>
          <w:b/>
          <w:color w:val="auto"/>
          <w:sz w:val="22"/>
          <w:highlight w:val="none"/>
        </w:rPr>
        <w:sectPr>
          <w:footerReference r:id="rId7" w:type="default"/>
          <w:pgSz w:w="11907" w:h="16840"/>
          <w:pgMar w:top="1440" w:right="1117" w:bottom="1440" w:left="1440" w:header="720" w:footer="720" w:gutter="0"/>
          <w:cols w:space="720" w:num="1"/>
          <w:titlePg/>
          <w:docGrid w:linePitch="286" w:charSpace="0"/>
        </w:sectPr>
      </w:pPr>
      <w:r>
        <w:rPr>
          <w:rFonts w:hint="eastAsia" w:eastAsia="宋体" w:cs="Times New Roman"/>
          <w:b/>
          <w:color w:val="auto"/>
          <w:kern w:val="0"/>
          <w:sz w:val="22"/>
          <w:szCs w:val="20"/>
          <w:highlight w:val="none"/>
        </w:rPr>
        <w:t>注：本合同作为示范文本，具体以中标供应商与采购人所签定正式合同为准。</w:t>
      </w:r>
    </w:p>
    <w:p w14:paraId="4EE28849">
      <w:pPr>
        <w:rPr>
          <w:rFonts w:ascii="宋体" w:hAnsi="宋体" w:eastAsia="宋体" w:cs="宋体"/>
          <w:color w:val="auto"/>
          <w:szCs w:val="21"/>
          <w:highlight w:val="none"/>
        </w:rPr>
      </w:pPr>
    </w:p>
    <w:p w14:paraId="6E2BC3C9">
      <w:pPr>
        <w:pStyle w:val="17"/>
        <w:numPr>
          <w:ilvl w:val="0"/>
          <w:numId w:val="14"/>
        </w:numPr>
        <w:adjustRightInd w:val="0"/>
        <w:snapToGrid w:val="0"/>
        <w:spacing w:line="400" w:lineRule="exact"/>
        <w:jc w:val="center"/>
        <w:outlineLvl w:val="0"/>
        <w:rPr>
          <w:rFonts w:hAnsi="Times New Roman"/>
          <w:b/>
          <w:bCs/>
          <w:color w:val="auto"/>
          <w:sz w:val="36"/>
          <w:szCs w:val="36"/>
          <w:highlight w:val="none"/>
        </w:rPr>
      </w:pPr>
      <w:bookmarkStart w:id="69" w:name="_Hlk519085278"/>
      <w:r>
        <w:rPr>
          <w:rFonts w:hint="eastAsia" w:hAnsi="Times New Roman"/>
          <w:b/>
          <w:bCs/>
          <w:color w:val="auto"/>
          <w:sz w:val="36"/>
          <w:szCs w:val="36"/>
          <w:highlight w:val="none"/>
        </w:rPr>
        <w:t xml:space="preserve"> 投标文件格式</w:t>
      </w:r>
    </w:p>
    <w:bookmarkEnd w:id="69"/>
    <w:p w14:paraId="1C96DE8A">
      <w:pPr>
        <w:pStyle w:val="17"/>
        <w:adjustRightInd w:val="0"/>
        <w:snapToGrid w:val="0"/>
        <w:spacing w:line="340" w:lineRule="atLeast"/>
        <w:rPr>
          <w:rFonts w:hAnsi="宋体"/>
          <w:b/>
          <w:bCs/>
          <w:color w:val="auto"/>
          <w:sz w:val="32"/>
          <w:szCs w:val="32"/>
          <w:highlight w:val="none"/>
        </w:rPr>
      </w:pPr>
    </w:p>
    <w:p w14:paraId="2D6DC64D">
      <w:pPr>
        <w:pStyle w:val="17"/>
        <w:adjustRightInd w:val="0"/>
        <w:snapToGrid w:val="0"/>
        <w:spacing w:line="340" w:lineRule="atLeast"/>
        <w:rPr>
          <w:rFonts w:hAnsi="宋体"/>
          <w:color w:val="auto"/>
          <w:sz w:val="32"/>
          <w:szCs w:val="32"/>
          <w:highlight w:val="none"/>
        </w:rPr>
      </w:pPr>
      <w:r>
        <w:rPr>
          <w:rFonts w:hint="eastAsia" w:hAnsi="宋体"/>
          <w:b/>
          <w:bCs/>
          <w:color w:val="auto"/>
          <w:sz w:val="32"/>
          <w:szCs w:val="32"/>
          <w:highlight w:val="none"/>
        </w:rPr>
        <w:t>附件一</w:t>
      </w:r>
      <w:r>
        <w:rPr>
          <w:rFonts w:hint="eastAsia" w:hAnsi="宋体"/>
          <w:color w:val="auto"/>
          <w:sz w:val="32"/>
          <w:szCs w:val="32"/>
          <w:highlight w:val="none"/>
        </w:rPr>
        <w:t xml:space="preserve">      </w:t>
      </w:r>
    </w:p>
    <w:p w14:paraId="438C75FD">
      <w:pPr>
        <w:pStyle w:val="17"/>
        <w:adjustRightInd w:val="0"/>
        <w:snapToGrid w:val="0"/>
        <w:spacing w:line="400" w:lineRule="exact"/>
        <w:jc w:val="center"/>
        <w:rPr>
          <w:rFonts w:hAnsi="宋体" w:eastAsia="宋体" w:cs="宋体"/>
          <w:color w:val="auto"/>
          <w:sz w:val="36"/>
          <w:szCs w:val="36"/>
          <w:highlight w:val="none"/>
        </w:rPr>
      </w:pPr>
      <w:r>
        <w:rPr>
          <w:rFonts w:hint="eastAsia" w:hAnsi="宋体" w:cs="宋体"/>
          <w:color w:val="auto"/>
          <w:sz w:val="36"/>
          <w:szCs w:val="36"/>
          <w:highlight w:val="none"/>
        </w:rPr>
        <w:t>开标一览表</w:t>
      </w:r>
    </w:p>
    <w:p w14:paraId="5EE7FEC0">
      <w:pPr>
        <w:pStyle w:val="17"/>
        <w:adjustRightInd w:val="0"/>
        <w:snapToGrid w:val="0"/>
        <w:spacing w:line="400" w:lineRule="exact"/>
        <w:rPr>
          <w:rFonts w:hAnsi="宋体" w:cs="宋体"/>
          <w:color w:val="auto"/>
          <w:sz w:val="36"/>
          <w:szCs w:val="36"/>
          <w:highlight w:val="none"/>
        </w:rPr>
      </w:pPr>
    </w:p>
    <w:p w14:paraId="5AF54FC4">
      <w:pPr>
        <w:pStyle w:val="17"/>
        <w:adjustRightInd w:val="0"/>
        <w:snapToGrid w:val="0"/>
        <w:spacing w:line="400" w:lineRule="exact"/>
        <w:ind w:firstLine="240" w:firstLineChars="100"/>
        <w:rPr>
          <w:rFonts w:hAnsi="宋体" w:cs="宋体"/>
          <w:color w:val="auto"/>
          <w:sz w:val="24"/>
          <w:highlight w:val="none"/>
        </w:rPr>
      </w:pPr>
      <w:r>
        <w:rPr>
          <w:rFonts w:hint="eastAsia" w:hAnsi="宋体" w:cs="宋体"/>
          <w:color w:val="auto"/>
          <w:sz w:val="24"/>
          <w:highlight w:val="none"/>
        </w:rPr>
        <w:t>供应商名称：                  招标编号：             报价单位：人民币元</w:t>
      </w:r>
    </w:p>
    <w:p w14:paraId="66A2217A">
      <w:pPr>
        <w:pStyle w:val="17"/>
        <w:spacing w:line="460" w:lineRule="exact"/>
        <w:rPr>
          <w:rFonts w:hAnsi="宋体"/>
          <w:color w:val="auto"/>
          <w:sz w:val="22"/>
          <w:szCs w:val="22"/>
          <w:highlight w:val="none"/>
        </w:rPr>
      </w:pPr>
      <w:r>
        <w:rPr>
          <w:rFonts w:hint="eastAsia" w:hAnsi="宋体"/>
          <w:color w:val="auto"/>
          <w:sz w:val="22"/>
          <w:szCs w:val="22"/>
          <w:highlight w:val="none"/>
        </w:rPr>
        <w:t xml:space="preserve">项目名称：                                 项目编号：                      </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77"/>
      </w:tblGrid>
      <w:tr w14:paraId="4717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14" w:type="dxa"/>
            <w:vAlign w:val="center"/>
          </w:tcPr>
          <w:p w14:paraId="22086DF3">
            <w:pPr>
              <w:pStyle w:val="17"/>
              <w:ind w:firstLine="442"/>
              <w:jc w:val="center"/>
              <w:rPr>
                <w:rFonts w:hAnsi="宋体" w:cs="宋体"/>
                <w:color w:val="auto"/>
                <w:sz w:val="22"/>
                <w:szCs w:val="22"/>
                <w:highlight w:val="none"/>
              </w:rPr>
            </w:pPr>
            <w:r>
              <w:rPr>
                <w:rFonts w:hint="eastAsia" w:hAnsi="宋体" w:cs="宋体"/>
                <w:color w:val="auto"/>
                <w:sz w:val="22"/>
                <w:szCs w:val="22"/>
                <w:highlight w:val="none"/>
              </w:rPr>
              <w:t>项目名称</w:t>
            </w:r>
          </w:p>
        </w:tc>
        <w:tc>
          <w:tcPr>
            <w:tcW w:w="4377" w:type="dxa"/>
            <w:vAlign w:val="center"/>
          </w:tcPr>
          <w:p w14:paraId="4E5EB7DB">
            <w:pPr>
              <w:pStyle w:val="17"/>
              <w:ind w:firstLine="442"/>
              <w:jc w:val="center"/>
              <w:rPr>
                <w:rFonts w:hAnsi="宋体" w:cs="宋体"/>
                <w:color w:val="auto"/>
                <w:sz w:val="22"/>
                <w:szCs w:val="22"/>
                <w:highlight w:val="none"/>
              </w:rPr>
            </w:pPr>
            <w:r>
              <w:rPr>
                <w:rFonts w:hint="eastAsia" w:hAnsi="宋体" w:cs="宋体"/>
                <w:color w:val="auto"/>
                <w:sz w:val="22"/>
                <w:szCs w:val="22"/>
                <w:highlight w:val="none"/>
              </w:rPr>
              <w:t>投标报价（人民币元）</w:t>
            </w:r>
          </w:p>
        </w:tc>
      </w:tr>
      <w:tr w14:paraId="045E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4514" w:type="dxa"/>
            <w:vAlign w:val="center"/>
          </w:tcPr>
          <w:p w14:paraId="0A960FE1">
            <w:pPr>
              <w:pStyle w:val="17"/>
              <w:jc w:val="center"/>
              <w:rPr>
                <w:rFonts w:hint="eastAsia" w:hAnsi="宋体" w:cs="宋体" w:eastAsiaTheme="minorEastAsia"/>
                <w:color w:val="auto"/>
                <w:sz w:val="22"/>
                <w:szCs w:val="22"/>
                <w:highlight w:val="none"/>
                <w:lang w:eastAsia="zh-CN"/>
              </w:rPr>
            </w:pPr>
            <w:r>
              <w:rPr>
                <w:rFonts w:hint="eastAsia" w:hAnsi="宋体" w:cs="宋体"/>
                <w:color w:val="auto"/>
                <w:sz w:val="22"/>
                <w:szCs w:val="22"/>
                <w:highlight w:val="none"/>
                <w:lang w:eastAsia="zh-CN"/>
              </w:rPr>
              <w:t>泰顺县2025-2026年度国土变更调查项目</w:t>
            </w:r>
          </w:p>
        </w:tc>
        <w:tc>
          <w:tcPr>
            <w:tcW w:w="4377" w:type="dxa"/>
            <w:vAlign w:val="center"/>
          </w:tcPr>
          <w:p w14:paraId="74452A30">
            <w:pPr>
              <w:pStyle w:val="17"/>
              <w:jc w:val="left"/>
              <w:rPr>
                <w:rFonts w:hAnsi="宋体" w:cs="宋体"/>
                <w:color w:val="auto"/>
                <w:sz w:val="22"/>
                <w:szCs w:val="22"/>
                <w:highlight w:val="none"/>
              </w:rPr>
            </w:pPr>
            <w:r>
              <w:rPr>
                <w:rFonts w:hint="eastAsia" w:hAnsi="宋体" w:cs="宋体"/>
                <w:color w:val="auto"/>
                <w:sz w:val="22"/>
                <w:szCs w:val="22"/>
                <w:highlight w:val="none"/>
              </w:rPr>
              <w:t>大写：</w:t>
            </w:r>
          </w:p>
          <w:p w14:paraId="477D39B6">
            <w:pPr>
              <w:pStyle w:val="17"/>
              <w:jc w:val="left"/>
              <w:rPr>
                <w:rFonts w:hAnsi="宋体" w:cs="宋体"/>
                <w:color w:val="auto"/>
                <w:sz w:val="22"/>
                <w:szCs w:val="22"/>
                <w:highlight w:val="none"/>
              </w:rPr>
            </w:pPr>
          </w:p>
          <w:p w14:paraId="5EB4DDDA">
            <w:pPr>
              <w:pStyle w:val="17"/>
              <w:jc w:val="left"/>
              <w:rPr>
                <w:rFonts w:hAnsi="宋体" w:cs="宋体"/>
                <w:color w:val="auto"/>
                <w:sz w:val="22"/>
                <w:szCs w:val="22"/>
                <w:highlight w:val="none"/>
              </w:rPr>
            </w:pPr>
            <w:r>
              <w:rPr>
                <w:rFonts w:hint="eastAsia" w:hAnsi="宋体" w:cs="宋体"/>
                <w:color w:val="auto"/>
                <w:sz w:val="22"/>
                <w:szCs w:val="22"/>
                <w:highlight w:val="none"/>
              </w:rPr>
              <w:t>小写：</w:t>
            </w:r>
          </w:p>
        </w:tc>
      </w:tr>
    </w:tbl>
    <w:p w14:paraId="34450698">
      <w:pPr>
        <w:spacing w:line="360" w:lineRule="exact"/>
        <w:ind w:left="286" w:hanging="286" w:hangingChars="13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1.本表中的报价为单价报价，包含项目实施全过程所涉及的全部费用以及合理的利润、税金、招标代理服务费、风险等其他一切费用。</w:t>
      </w:r>
    </w:p>
    <w:p w14:paraId="6AD4A55B">
      <w:pPr>
        <w:spacing w:line="380" w:lineRule="exact"/>
        <w:ind w:firstLine="221" w:firstLineChars="100"/>
        <w:rPr>
          <w:rFonts w:ascii="宋体" w:hAnsi="宋体" w:cs="宋体"/>
          <w:b/>
          <w:color w:val="auto"/>
          <w:sz w:val="22"/>
          <w:highlight w:val="none"/>
        </w:rPr>
      </w:pPr>
      <w:r>
        <w:rPr>
          <w:rFonts w:hint="eastAsia" w:ascii="宋体" w:hAnsi="宋体" w:cs="宋体"/>
          <w:b/>
          <w:color w:val="auto"/>
          <w:sz w:val="22"/>
          <w:szCs w:val="22"/>
          <w:highlight w:val="none"/>
        </w:rPr>
        <w:t>2.此表不得自行增减内容，不提供此表格将被视为没有实质性响应招标文件,其投标文件将被拒绝。</w:t>
      </w:r>
    </w:p>
    <w:p w14:paraId="5F3C1D4D">
      <w:pPr>
        <w:autoSpaceDE w:val="0"/>
        <w:autoSpaceDN w:val="0"/>
        <w:adjustRightInd w:val="0"/>
        <w:spacing w:line="440" w:lineRule="atLeast"/>
        <w:rPr>
          <w:rFonts w:ascii="宋体" w:hAnsi="宋体" w:cs="宋体"/>
          <w:color w:val="auto"/>
          <w:sz w:val="24"/>
          <w:highlight w:val="none"/>
          <w:lang w:val="zh-CN"/>
        </w:rPr>
      </w:pPr>
    </w:p>
    <w:p w14:paraId="2E94848A">
      <w:pPr>
        <w:pStyle w:val="10"/>
        <w:tabs>
          <w:tab w:val="left" w:pos="864"/>
        </w:tabs>
        <w:rPr>
          <w:color w:val="auto"/>
          <w:highlight w:val="none"/>
          <w:lang w:val="zh-CN"/>
        </w:rPr>
      </w:pPr>
    </w:p>
    <w:p w14:paraId="11561E62">
      <w:pPr>
        <w:autoSpaceDE w:val="0"/>
        <w:autoSpaceDN w:val="0"/>
        <w:adjustRightInd w:val="0"/>
        <w:spacing w:line="440" w:lineRule="atLeast"/>
        <w:ind w:firstLine="627" w:firstLineChars="28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供应商全称（电子签章）：</w:t>
      </w:r>
    </w:p>
    <w:p w14:paraId="7ED4571B">
      <w:pPr>
        <w:autoSpaceDE w:val="0"/>
        <w:autoSpaceDN w:val="0"/>
        <w:adjustRightInd w:val="0"/>
        <w:spacing w:line="440" w:lineRule="atLeast"/>
        <w:ind w:firstLine="627" w:firstLineChars="285"/>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法定代表人或</w:t>
      </w:r>
      <w:r>
        <w:rPr>
          <w:rFonts w:hint="eastAsia" w:ascii="宋体" w:hAnsi="宋体" w:cs="宋体"/>
          <w:color w:val="auto"/>
          <w:sz w:val="22"/>
          <w:highlight w:val="none"/>
        </w:rPr>
        <w:t>授权代表人</w:t>
      </w:r>
      <w:r>
        <w:rPr>
          <w:rFonts w:hint="eastAsia" w:ascii="宋体" w:hAnsi="宋体" w:cs="宋体"/>
          <w:color w:val="auto"/>
          <w:sz w:val="22"/>
          <w:szCs w:val="22"/>
          <w:highlight w:val="none"/>
          <w:lang w:val="zh-CN"/>
        </w:rPr>
        <w:t>（签字</w:t>
      </w:r>
      <w:r>
        <w:rPr>
          <w:rFonts w:hint="eastAsia" w:ascii="宋体" w:hAnsi="宋体" w:cs="宋体"/>
          <w:color w:val="auto"/>
          <w:sz w:val="22"/>
          <w:szCs w:val="22"/>
          <w:highlight w:val="none"/>
        </w:rPr>
        <w:t>或盖章</w:t>
      </w:r>
      <w:r>
        <w:rPr>
          <w:rFonts w:hint="eastAsia" w:ascii="宋体" w:hAnsi="宋体" w:cs="宋体"/>
          <w:color w:val="auto"/>
          <w:sz w:val="22"/>
          <w:szCs w:val="22"/>
          <w:highlight w:val="none"/>
          <w:lang w:val="zh-CN"/>
        </w:rPr>
        <w:t>）：</w:t>
      </w:r>
    </w:p>
    <w:p w14:paraId="700F4693">
      <w:pPr>
        <w:spacing w:line="440" w:lineRule="exact"/>
        <w:ind w:firstLine="660" w:firstLineChars="3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4E0B3755">
      <w:pPr>
        <w:pStyle w:val="5"/>
        <w:rPr>
          <w:rFonts w:ascii="宋体" w:hAnsi="宋体" w:cs="宋体"/>
          <w:color w:val="auto"/>
          <w:sz w:val="22"/>
          <w:szCs w:val="22"/>
          <w:highlight w:val="none"/>
          <w:lang w:val="zh-CN"/>
        </w:rPr>
      </w:pPr>
    </w:p>
    <w:p w14:paraId="14D87956">
      <w:pPr>
        <w:pStyle w:val="4"/>
        <w:rPr>
          <w:rFonts w:ascii="宋体" w:hAnsi="宋体" w:cs="宋体"/>
          <w:color w:val="auto"/>
          <w:sz w:val="22"/>
          <w:szCs w:val="22"/>
          <w:highlight w:val="none"/>
          <w:lang w:val="zh-CN"/>
        </w:rPr>
      </w:pPr>
    </w:p>
    <w:p w14:paraId="4C52D4AB">
      <w:pPr>
        <w:pStyle w:val="6"/>
        <w:rPr>
          <w:rFonts w:ascii="宋体" w:hAnsi="宋体" w:cs="宋体"/>
          <w:color w:val="auto"/>
          <w:sz w:val="22"/>
          <w:szCs w:val="22"/>
          <w:highlight w:val="none"/>
          <w:lang w:val="zh-CN"/>
        </w:rPr>
      </w:pPr>
    </w:p>
    <w:p w14:paraId="276B6ECB">
      <w:pPr>
        <w:rPr>
          <w:rFonts w:ascii="宋体" w:hAnsi="宋体" w:cs="宋体"/>
          <w:color w:val="auto"/>
          <w:sz w:val="22"/>
          <w:szCs w:val="22"/>
          <w:highlight w:val="none"/>
          <w:lang w:val="zh-CN"/>
        </w:rPr>
      </w:pPr>
    </w:p>
    <w:p w14:paraId="18941FD3">
      <w:pPr>
        <w:pStyle w:val="5"/>
        <w:rPr>
          <w:rFonts w:ascii="宋体" w:hAnsi="宋体" w:cs="宋体"/>
          <w:color w:val="auto"/>
          <w:sz w:val="22"/>
          <w:szCs w:val="22"/>
          <w:highlight w:val="none"/>
          <w:lang w:val="zh-CN"/>
        </w:rPr>
      </w:pPr>
    </w:p>
    <w:p w14:paraId="5C83AA7E">
      <w:pPr>
        <w:pStyle w:val="4"/>
        <w:rPr>
          <w:rFonts w:ascii="宋体" w:hAnsi="宋体" w:cs="宋体"/>
          <w:color w:val="auto"/>
          <w:sz w:val="22"/>
          <w:szCs w:val="22"/>
          <w:highlight w:val="none"/>
          <w:lang w:val="zh-CN"/>
        </w:rPr>
      </w:pPr>
    </w:p>
    <w:p w14:paraId="51875885">
      <w:pPr>
        <w:pStyle w:val="6"/>
        <w:rPr>
          <w:rFonts w:ascii="宋体" w:hAnsi="宋体" w:cs="宋体"/>
          <w:color w:val="auto"/>
          <w:sz w:val="22"/>
          <w:szCs w:val="22"/>
          <w:highlight w:val="none"/>
          <w:lang w:val="zh-CN"/>
        </w:rPr>
      </w:pPr>
    </w:p>
    <w:p w14:paraId="522AB588">
      <w:pPr>
        <w:rPr>
          <w:rFonts w:ascii="宋体" w:hAnsi="宋体" w:cs="宋体"/>
          <w:color w:val="auto"/>
          <w:sz w:val="22"/>
          <w:szCs w:val="22"/>
          <w:highlight w:val="none"/>
          <w:lang w:val="zh-CN"/>
        </w:rPr>
      </w:pPr>
    </w:p>
    <w:p w14:paraId="737D4B53">
      <w:pPr>
        <w:pStyle w:val="4"/>
        <w:rPr>
          <w:rFonts w:ascii="宋体" w:hAnsi="宋体" w:cs="宋体"/>
          <w:color w:val="auto"/>
          <w:sz w:val="22"/>
          <w:szCs w:val="22"/>
          <w:highlight w:val="none"/>
          <w:lang w:val="zh-CN"/>
        </w:rPr>
      </w:pPr>
    </w:p>
    <w:p w14:paraId="07A79E5C">
      <w:pPr>
        <w:pStyle w:val="4"/>
        <w:rPr>
          <w:rFonts w:ascii="宋体" w:hAnsi="宋体" w:cs="宋体"/>
          <w:color w:val="auto"/>
          <w:sz w:val="22"/>
          <w:szCs w:val="22"/>
          <w:highlight w:val="none"/>
          <w:lang w:val="zh-CN"/>
        </w:rPr>
      </w:pPr>
    </w:p>
    <w:p w14:paraId="2A724F77">
      <w:pPr>
        <w:rPr>
          <w:rFonts w:ascii="宋体" w:hAnsi="宋体" w:cs="宋体"/>
          <w:color w:val="auto"/>
          <w:sz w:val="22"/>
          <w:szCs w:val="22"/>
          <w:highlight w:val="none"/>
          <w:lang w:val="zh-CN"/>
        </w:rPr>
      </w:pPr>
    </w:p>
    <w:p w14:paraId="223B3981">
      <w:pPr>
        <w:pStyle w:val="4"/>
        <w:ind w:firstLine="0"/>
        <w:rPr>
          <w:rFonts w:ascii="宋体" w:hAnsi="宋体" w:cs="宋体"/>
          <w:color w:val="auto"/>
          <w:sz w:val="22"/>
          <w:szCs w:val="22"/>
          <w:highlight w:val="none"/>
          <w:lang w:val="zh-CN"/>
        </w:rPr>
      </w:pPr>
    </w:p>
    <w:p w14:paraId="25FD843B">
      <w:pPr>
        <w:pStyle w:val="6"/>
        <w:rPr>
          <w:rFonts w:ascii="宋体" w:hAnsi="宋体" w:cs="宋体"/>
          <w:color w:val="auto"/>
          <w:sz w:val="22"/>
          <w:szCs w:val="22"/>
          <w:highlight w:val="none"/>
          <w:lang w:val="zh-CN"/>
        </w:rPr>
      </w:pPr>
    </w:p>
    <w:p w14:paraId="0DEB63CE">
      <w:pPr>
        <w:pStyle w:val="17"/>
        <w:adjustRightInd w:val="0"/>
        <w:snapToGrid w:val="0"/>
        <w:spacing w:line="460" w:lineRule="atLeast"/>
        <w:rPr>
          <w:rFonts w:hAnsi="宋体"/>
          <w:b/>
          <w:bCs/>
          <w:color w:val="auto"/>
          <w:sz w:val="32"/>
          <w:szCs w:val="32"/>
          <w:highlight w:val="none"/>
        </w:rPr>
      </w:pPr>
      <w:r>
        <w:rPr>
          <w:rFonts w:hint="eastAsia" w:hAnsi="宋体"/>
          <w:b/>
          <w:bCs/>
          <w:color w:val="auto"/>
          <w:sz w:val="32"/>
          <w:szCs w:val="32"/>
          <w:highlight w:val="none"/>
        </w:rPr>
        <w:t>附件一（二）</w:t>
      </w:r>
    </w:p>
    <w:p w14:paraId="3ADF14F0">
      <w:pPr>
        <w:autoSpaceDE w:val="0"/>
        <w:autoSpaceDN w:val="0"/>
        <w:adjustRightInd w:val="0"/>
        <w:spacing w:line="460" w:lineRule="atLeast"/>
        <w:jc w:val="center"/>
        <w:rPr>
          <w:rFonts w:ascii="宋体" w:eastAsia="宋体"/>
          <w:color w:val="auto"/>
          <w:sz w:val="36"/>
          <w:szCs w:val="36"/>
          <w:highlight w:val="none"/>
          <w:lang w:val="zh-CN"/>
        </w:rPr>
      </w:pPr>
      <w:r>
        <w:rPr>
          <w:rFonts w:hint="eastAsia" w:ascii="宋体" w:eastAsia="宋体"/>
          <w:color w:val="auto"/>
          <w:sz w:val="36"/>
          <w:szCs w:val="36"/>
          <w:highlight w:val="none"/>
          <w:lang w:val="zh-CN"/>
        </w:rPr>
        <w:t>分项报价表</w:t>
      </w:r>
    </w:p>
    <w:p w14:paraId="14EA6398">
      <w:pPr>
        <w:autoSpaceDE w:val="0"/>
        <w:autoSpaceDN w:val="0"/>
        <w:adjustRightInd w:val="0"/>
        <w:spacing w:line="460" w:lineRule="atLeast"/>
        <w:ind w:firstLine="220" w:firstLineChars="100"/>
        <w:jc w:val="left"/>
        <w:rPr>
          <w:rFonts w:ascii="宋体" w:eastAsia="宋体" w:cs="仿宋_GB2312"/>
          <w:color w:val="auto"/>
          <w:sz w:val="22"/>
          <w:szCs w:val="22"/>
          <w:highlight w:val="none"/>
          <w:lang w:val="zh-CN"/>
        </w:rPr>
      </w:pPr>
      <w:r>
        <w:rPr>
          <w:rFonts w:hint="eastAsia" w:ascii="宋体" w:eastAsia="宋体"/>
          <w:color w:val="auto"/>
          <w:sz w:val="22"/>
          <w:szCs w:val="22"/>
          <w:highlight w:val="none"/>
          <w:lang w:val="zh-CN"/>
        </w:rPr>
        <w:t xml:space="preserve">标项名称：                        招标编号：                       </w:t>
      </w:r>
      <w:r>
        <w:rPr>
          <w:rFonts w:hint="eastAsia" w:ascii="宋体" w:eastAsia="宋体" w:cs="仿宋_GB2312"/>
          <w:color w:val="auto"/>
          <w:sz w:val="22"/>
          <w:szCs w:val="22"/>
          <w:highlight w:val="none"/>
          <w:lang w:val="zh-CN"/>
        </w:rPr>
        <w:t>价格单位：元</w:t>
      </w:r>
    </w:p>
    <w:tbl>
      <w:tblPr>
        <w:tblStyle w:val="31"/>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3778"/>
        <w:gridCol w:w="2070"/>
        <w:gridCol w:w="1758"/>
      </w:tblGrid>
      <w:tr w14:paraId="7F2C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314" w:type="dxa"/>
            <w:vAlign w:val="center"/>
          </w:tcPr>
          <w:p w14:paraId="0ADB5078">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3778" w:type="dxa"/>
            <w:vAlign w:val="center"/>
          </w:tcPr>
          <w:p w14:paraId="4CFED58F">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内容</w:t>
            </w:r>
          </w:p>
        </w:tc>
        <w:tc>
          <w:tcPr>
            <w:tcW w:w="2070" w:type="dxa"/>
            <w:vAlign w:val="center"/>
          </w:tcPr>
          <w:p w14:paraId="63240057">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价格</w:t>
            </w:r>
          </w:p>
        </w:tc>
        <w:tc>
          <w:tcPr>
            <w:tcW w:w="1758" w:type="dxa"/>
            <w:vAlign w:val="center"/>
          </w:tcPr>
          <w:p w14:paraId="38F915F4">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3C03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4C28F88A">
            <w:pPr>
              <w:pStyle w:val="2"/>
              <w:spacing w:before="120" w:line="340" w:lineRule="exact"/>
              <w:rPr>
                <w:rFonts w:ascii="宋体" w:hAnsi="宋体"/>
                <w:color w:val="auto"/>
                <w:sz w:val="22"/>
                <w:szCs w:val="22"/>
                <w:highlight w:val="none"/>
              </w:rPr>
            </w:pPr>
          </w:p>
        </w:tc>
        <w:tc>
          <w:tcPr>
            <w:tcW w:w="3778" w:type="dxa"/>
            <w:vAlign w:val="center"/>
          </w:tcPr>
          <w:p w14:paraId="7979E3AE">
            <w:pPr>
              <w:pStyle w:val="2"/>
              <w:spacing w:before="120" w:line="340" w:lineRule="exact"/>
              <w:rPr>
                <w:rFonts w:ascii="宋体" w:hAnsi="宋体"/>
                <w:color w:val="auto"/>
                <w:sz w:val="22"/>
                <w:szCs w:val="22"/>
                <w:highlight w:val="none"/>
              </w:rPr>
            </w:pPr>
          </w:p>
        </w:tc>
        <w:tc>
          <w:tcPr>
            <w:tcW w:w="2070" w:type="dxa"/>
            <w:vAlign w:val="center"/>
          </w:tcPr>
          <w:p w14:paraId="3C779411">
            <w:pPr>
              <w:pStyle w:val="2"/>
              <w:spacing w:before="120" w:line="340" w:lineRule="exact"/>
              <w:jc w:val="center"/>
              <w:rPr>
                <w:rFonts w:ascii="宋体" w:hAnsi="宋体"/>
                <w:color w:val="auto"/>
                <w:sz w:val="22"/>
                <w:szCs w:val="22"/>
                <w:highlight w:val="none"/>
              </w:rPr>
            </w:pPr>
          </w:p>
        </w:tc>
        <w:tc>
          <w:tcPr>
            <w:tcW w:w="1758" w:type="dxa"/>
          </w:tcPr>
          <w:p w14:paraId="5CBF67D3">
            <w:pPr>
              <w:pStyle w:val="2"/>
              <w:spacing w:before="120" w:line="340" w:lineRule="exact"/>
              <w:jc w:val="center"/>
              <w:rPr>
                <w:rFonts w:ascii="宋体" w:hAnsi="宋体"/>
                <w:color w:val="auto"/>
                <w:sz w:val="22"/>
                <w:szCs w:val="22"/>
                <w:highlight w:val="none"/>
              </w:rPr>
            </w:pPr>
          </w:p>
        </w:tc>
      </w:tr>
      <w:tr w14:paraId="47CF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03444CE4">
            <w:pPr>
              <w:pStyle w:val="2"/>
              <w:spacing w:before="120" w:line="340" w:lineRule="exact"/>
              <w:rPr>
                <w:rFonts w:ascii="宋体" w:hAnsi="宋体"/>
                <w:color w:val="auto"/>
                <w:sz w:val="22"/>
                <w:szCs w:val="22"/>
                <w:highlight w:val="none"/>
              </w:rPr>
            </w:pPr>
          </w:p>
        </w:tc>
        <w:tc>
          <w:tcPr>
            <w:tcW w:w="3778" w:type="dxa"/>
            <w:vAlign w:val="center"/>
          </w:tcPr>
          <w:p w14:paraId="16C55609">
            <w:pPr>
              <w:pStyle w:val="2"/>
              <w:spacing w:before="120" w:line="340" w:lineRule="exact"/>
              <w:rPr>
                <w:rFonts w:ascii="宋体" w:hAnsi="宋体"/>
                <w:color w:val="auto"/>
                <w:sz w:val="22"/>
                <w:szCs w:val="22"/>
                <w:highlight w:val="none"/>
              </w:rPr>
            </w:pPr>
          </w:p>
        </w:tc>
        <w:tc>
          <w:tcPr>
            <w:tcW w:w="2070" w:type="dxa"/>
            <w:vAlign w:val="center"/>
          </w:tcPr>
          <w:p w14:paraId="01DA88B2">
            <w:pPr>
              <w:pStyle w:val="2"/>
              <w:spacing w:before="120" w:line="340" w:lineRule="exact"/>
              <w:jc w:val="center"/>
              <w:rPr>
                <w:rFonts w:ascii="宋体" w:hAnsi="宋体"/>
                <w:color w:val="auto"/>
                <w:sz w:val="22"/>
                <w:szCs w:val="22"/>
                <w:highlight w:val="none"/>
              </w:rPr>
            </w:pPr>
          </w:p>
        </w:tc>
        <w:tc>
          <w:tcPr>
            <w:tcW w:w="1758" w:type="dxa"/>
          </w:tcPr>
          <w:p w14:paraId="18BE6B87">
            <w:pPr>
              <w:pStyle w:val="2"/>
              <w:spacing w:before="120" w:line="340" w:lineRule="exact"/>
              <w:jc w:val="center"/>
              <w:rPr>
                <w:rFonts w:ascii="宋体" w:hAnsi="宋体"/>
                <w:color w:val="auto"/>
                <w:sz w:val="22"/>
                <w:szCs w:val="22"/>
                <w:highlight w:val="none"/>
              </w:rPr>
            </w:pPr>
          </w:p>
        </w:tc>
      </w:tr>
      <w:tr w14:paraId="24CA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14E46C1A">
            <w:pPr>
              <w:pStyle w:val="2"/>
              <w:spacing w:before="120" w:line="340" w:lineRule="exact"/>
              <w:rPr>
                <w:rFonts w:ascii="宋体" w:hAnsi="宋体"/>
                <w:color w:val="auto"/>
                <w:sz w:val="22"/>
                <w:szCs w:val="22"/>
                <w:highlight w:val="none"/>
              </w:rPr>
            </w:pPr>
          </w:p>
        </w:tc>
        <w:tc>
          <w:tcPr>
            <w:tcW w:w="3778" w:type="dxa"/>
            <w:vAlign w:val="center"/>
          </w:tcPr>
          <w:p w14:paraId="05E0B753">
            <w:pPr>
              <w:pStyle w:val="2"/>
              <w:spacing w:before="120" w:line="340" w:lineRule="exact"/>
              <w:rPr>
                <w:rFonts w:ascii="宋体" w:hAnsi="宋体"/>
                <w:color w:val="auto"/>
                <w:sz w:val="22"/>
                <w:szCs w:val="22"/>
                <w:highlight w:val="none"/>
              </w:rPr>
            </w:pPr>
          </w:p>
        </w:tc>
        <w:tc>
          <w:tcPr>
            <w:tcW w:w="2070" w:type="dxa"/>
            <w:vAlign w:val="center"/>
          </w:tcPr>
          <w:p w14:paraId="74AC759A">
            <w:pPr>
              <w:pStyle w:val="2"/>
              <w:spacing w:before="120" w:line="340" w:lineRule="exact"/>
              <w:jc w:val="center"/>
              <w:rPr>
                <w:rFonts w:ascii="宋体" w:hAnsi="宋体"/>
                <w:color w:val="auto"/>
                <w:sz w:val="22"/>
                <w:szCs w:val="22"/>
                <w:highlight w:val="none"/>
              </w:rPr>
            </w:pPr>
          </w:p>
        </w:tc>
        <w:tc>
          <w:tcPr>
            <w:tcW w:w="1758" w:type="dxa"/>
          </w:tcPr>
          <w:p w14:paraId="0C0641F8">
            <w:pPr>
              <w:pStyle w:val="2"/>
              <w:spacing w:before="120" w:line="340" w:lineRule="exact"/>
              <w:jc w:val="center"/>
              <w:rPr>
                <w:rFonts w:ascii="宋体" w:hAnsi="宋体"/>
                <w:color w:val="auto"/>
                <w:sz w:val="22"/>
                <w:szCs w:val="22"/>
                <w:highlight w:val="none"/>
              </w:rPr>
            </w:pPr>
          </w:p>
        </w:tc>
      </w:tr>
      <w:tr w14:paraId="61AB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18164397">
            <w:pPr>
              <w:pStyle w:val="2"/>
              <w:spacing w:before="120" w:line="340" w:lineRule="exact"/>
              <w:rPr>
                <w:rFonts w:ascii="宋体" w:hAnsi="宋体"/>
                <w:color w:val="auto"/>
                <w:sz w:val="22"/>
                <w:szCs w:val="22"/>
                <w:highlight w:val="none"/>
              </w:rPr>
            </w:pPr>
          </w:p>
        </w:tc>
        <w:tc>
          <w:tcPr>
            <w:tcW w:w="3778" w:type="dxa"/>
            <w:vAlign w:val="center"/>
          </w:tcPr>
          <w:p w14:paraId="47AEFE9C">
            <w:pPr>
              <w:pStyle w:val="2"/>
              <w:spacing w:before="120" w:line="340" w:lineRule="exact"/>
              <w:rPr>
                <w:rFonts w:ascii="宋体" w:hAnsi="宋体"/>
                <w:color w:val="auto"/>
                <w:sz w:val="22"/>
                <w:szCs w:val="22"/>
                <w:highlight w:val="none"/>
              </w:rPr>
            </w:pPr>
          </w:p>
        </w:tc>
        <w:tc>
          <w:tcPr>
            <w:tcW w:w="2070" w:type="dxa"/>
            <w:vAlign w:val="center"/>
          </w:tcPr>
          <w:p w14:paraId="03535053">
            <w:pPr>
              <w:pStyle w:val="2"/>
              <w:spacing w:before="120" w:line="340" w:lineRule="exact"/>
              <w:jc w:val="center"/>
              <w:rPr>
                <w:rFonts w:ascii="宋体" w:hAnsi="宋体"/>
                <w:color w:val="auto"/>
                <w:sz w:val="22"/>
                <w:szCs w:val="22"/>
                <w:highlight w:val="none"/>
              </w:rPr>
            </w:pPr>
          </w:p>
        </w:tc>
        <w:tc>
          <w:tcPr>
            <w:tcW w:w="1758" w:type="dxa"/>
          </w:tcPr>
          <w:p w14:paraId="7B514980">
            <w:pPr>
              <w:pStyle w:val="2"/>
              <w:spacing w:before="120" w:line="340" w:lineRule="exact"/>
              <w:jc w:val="center"/>
              <w:rPr>
                <w:rFonts w:ascii="宋体" w:hAnsi="宋体"/>
                <w:color w:val="auto"/>
                <w:sz w:val="22"/>
                <w:szCs w:val="22"/>
                <w:highlight w:val="none"/>
              </w:rPr>
            </w:pPr>
          </w:p>
        </w:tc>
      </w:tr>
      <w:tr w14:paraId="7287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5F921C07">
            <w:pPr>
              <w:pStyle w:val="2"/>
              <w:spacing w:before="120" w:line="340" w:lineRule="exact"/>
              <w:rPr>
                <w:rFonts w:ascii="宋体" w:hAnsi="宋体"/>
                <w:color w:val="auto"/>
                <w:sz w:val="22"/>
                <w:szCs w:val="22"/>
                <w:highlight w:val="none"/>
              </w:rPr>
            </w:pPr>
          </w:p>
        </w:tc>
        <w:tc>
          <w:tcPr>
            <w:tcW w:w="3778" w:type="dxa"/>
            <w:vAlign w:val="center"/>
          </w:tcPr>
          <w:p w14:paraId="51888774">
            <w:pPr>
              <w:pStyle w:val="2"/>
              <w:spacing w:before="120" w:line="340" w:lineRule="exact"/>
              <w:rPr>
                <w:rFonts w:ascii="宋体" w:hAnsi="宋体"/>
                <w:color w:val="auto"/>
                <w:sz w:val="22"/>
                <w:szCs w:val="22"/>
                <w:highlight w:val="none"/>
              </w:rPr>
            </w:pPr>
          </w:p>
        </w:tc>
        <w:tc>
          <w:tcPr>
            <w:tcW w:w="2070" w:type="dxa"/>
            <w:vAlign w:val="center"/>
          </w:tcPr>
          <w:p w14:paraId="0BAC9F9A">
            <w:pPr>
              <w:pStyle w:val="2"/>
              <w:spacing w:before="120" w:line="340" w:lineRule="exact"/>
              <w:jc w:val="center"/>
              <w:rPr>
                <w:rFonts w:ascii="宋体" w:hAnsi="宋体"/>
                <w:color w:val="auto"/>
                <w:sz w:val="22"/>
                <w:szCs w:val="22"/>
                <w:highlight w:val="none"/>
              </w:rPr>
            </w:pPr>
          </w:p>
        </w:tc>
        <w:tc>
          <w:tcPr>
            <w:tcW w:w="1758" w:type="dxa"/>
          </w:tcPr>
          <w:p w14:paraId="7D435BD3">
            <w:pPr>
              <w:pStyle w:val="2"/>
              <w:spacing w:before="120" w:line="340" w:lineRule="exact"/>
              <w:jc w:val="center"/>
              <w:rPr>
                <w:rFonts w:ascii="宋体" w:hAnsi="宋体"/>
                <w:color w:val="auto"/>
                <w:sz w:val="22"/>
                <w:szCs w:val="22"/>
                <w:highlight w:val="none"/>
              </w:rPr>
            </w:pPr>
          </w:p>
        </w:tc>
      </w:tr>
      <w:tr w14:paraId="38E3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78976F97">
            <w:pPr>
              <w:pStyle w:val="2"/>
              <w:spacing w:before="120" w:line="340" w:lineRule="exact"/>
              <w:rPr>
                <w:rFonts w:ascii="宋体" w:hAnsi="宋体"/>
                <w:color w:val="auto"/>
                <w:sz w:val="22"/>
                <w:szCs w:val="22"/>
                <w:highlight w:val="none"/>
              </w:rPr>
            </w:pPr>
          </w:p>
        </w:tc>
        <w:tc>
          <w:tcPr>
            <w:tcW w:w="3778" w:type="dxa"/>
            <w:vAlign w:val="center"/>
          </w:tcPr>
          <w:p w14:paraId="38C578B1">
            <w:pPr>
              <w:pStyle w:val="2"/>
              <w:spacing w:before="120" w:line="340" w:lineRule="exact"/>
              <w:rPr>
                <w:rFonts w:ascii="宋体" w:hAnsi="宋体"/>
                <w:color w:val="auto"/>
                <w:sz w:val="22"/>
                <w:szCs w:val="22"/>
                <w:highlight w:val="none"/>
              </w:rPr>
            </w:pPr>
          </w:p>
        </w:tc>
        <w:tc>
          <w:tcPr>
            <w:tcW w:w="2070" w:type="dxa"/>
            <w:vAlign w:val="center"/>
          </w:tcPr>
          <w:p w14:paraId="669109E4">
            <w:pPr>
              <w:pStyle w:val="2"/>
              <w:spacing w:before="120" w:line="340" w:lineRule="exact"/>
              <w:jc w:val="center"/>
              <w:rPr>
                <w:rFonts w:ascii="宋体" w:hAnsi="宋体"/>
                <w:color w:val="auto"/>
                <w:sz w:val="22"/>
                <w:szCs w:val="22"/>
                <w:highlight w:val="none"/>
              </w:rPr>
            </w:pPr>
          </w:p>
        </w:tc>
        <w:tc>
          <w:tcPr>
            <w:tcW w:w="1758" w:type="dxa"/>
          </w:tcPr>
          <w:p w14:paraId="2B8E4D88">
            <w:pPr>
              <w:pStyle w:val="2"/>
              <w:spacing w:before="120" w:line="340" w:lineRule="exact"/>
              <w:jc w:val="center"/>
              <w:rPr>
                <w:rFonts w:ascii="宋体" w:hAnsi="宋体"/>
                <w:color w:val="auto"/>
                <w:sz w:val="22"/>
                <w:szCs w:val="22"/>
                <w:highlight w:val="none"/>
              </w:rPr>
            </w:pPr>
          </w:p>
        </w:tc>
      </w:tr>
      <w:tr w14:paraId="3059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65ED2A0F">
            <w:pPr>
              <w:pStyle w:val="2"/>
              <w:spacing w:before="120" w:line="340" w:lineRule="exact"/>
              <w:rPr>
                <w:rFonts w:ascii="宋体" w:hAnsi="宋体"/>
                <w:color w:val="auto"/>
                <w:sz w:val="22"/>
                <w:szCs w:val="22"/>
                <w:highlight w:val="none"/>
              </w:rPr>
            </w:pPr>
          </w:p>
        </w:tc>
        <w:tc>
          <w:tcPr>
            <w:tcW w:w="3778" w:type="dxa"/>
            <w:vAlign w:val="center"/>
          </w:tcPr>
          <w:p w14:paraId="0FDB0E12">
            <w:pPr>
              <w:pStyle w:val="2"/>
              <w:spacing w:before="120" w:line="340" w:lineRule="exact"/>
              <w:rPr>
                <w:rFonts w:ascii="宋体" w:hAnsi="宋体"/>
                <w:color w:val="auto"/>
                <w:sz w:val="22"/>
                <w:szCs w:val="22"/>
                <w:highlight w:val="none"/>
              </w:rPr>
            </w:pPr>
          </w:p>
        </w:tc>
        <w:tc>
          <w:tcPr>
            <w:tcW w:w="2070" w:type="dxa"/>
            <w:vAlign w:val="center"/>
          </w:tcPr>
          <w:p w14:paraId="299A4DF7">
            <w:pPr>
              <w:pStyle w:val="2"/>
              <w:spacing w:before="120" w:line="340" w:lineRule="exact"/>
              <w:jc w:val="center"/>
              <w:rPr>
                <w:rFonts w:ascii="宋体" w:hAnsi="宋体"/>
                <w:color w:val="auto"/>
                <w:sz w:val="22"/>
                <w:szCs w:val="22"/>
                <w:highlight w:val="none"/>
              </w:rPr>
            </w:pPr>
          </w:p>
        </w:tc>
        <w:tc>
          <w:tcPr>
            <w:tcW w:w="1758" w:type="dxa"/>
          </w:tcPr>
          <w:p w14:paraId="3902B36C">
            <w:pPr>
              <w:pStyle w:val="2"/>
              <w:spacing w:before="120" w:line="340" w:lineRule="exact"/>
              <w:jc w:val="center"/>
              <w:rPr>
                <w:rFonts w:ascii="宋体" w:hAnsi="宋体"/>
                <w:color w:val="auto"/>
                <w:sz w:val="22"/>
                <w:szCs w:val="22"/>
                <w:highlight w:val="none"/>
              </w:rPr>
            </w:pPr>
          </w:p>
        </w:tc>
      </w:tr>
      <w:tr w14:paraId="7B7C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475DDADF">
            <w:pPr>
              <w:pStyle w:val="2"/>
              <w:spacing w:before="120" w:line="340" w:lineRule="exact"/>
              <w:rPr>
                <w:rFonts w:ascii="宋体" w:hAnsi="宋体"/>
                <w:color w:val="auto"/>
                <w:sz w:val="22"/>
                <w:szCs w:val="22"/>
                <w:highlight w:val="none"/>
              </w:rPr>
            </w:pPr>
          </w:p>
        </w:tc>
        <w:tc>
          <w:tcPr>
            <w:tcW w:w="3778" w:type="dxa"/>
            <w:vAlign w:val="center"/>
          </w:tcPr>
          <w:p w14:paraId="36BAB4A5">
            <w:pPr>
              <w:pStyle w:val="2"/>
              <w:spacing w:before="120" w:line="340" w:lineRule="exact"/>
              <w:rPr>
                <w:rFonts w:ascii="宋体" w:hAnsi="宋体"/>
                <w:color w:val="auto"/>
                <w:sz w:val="22"/>
                <w:szCs w:val="22"/>
                <w:highlight w:val="none"/>
              </w:rPr>
            </w:pPr>
          </w:p>
        </w:tc>
        <w:tc>
          <w:tcPr>
            <w:tcW w:w="2070" w:type="dxa"/>
            <w:vAlign w:val="center"/>
          </w:tcPr>
          <w:p w14:paraId="599E327C">
            <w:pPr>
              <w:pStyle w:val="2"/>
              <w:spacing w:before="120" w:line="340" w:lineRule="exact"/>
              <w:jc w:val="center"/>
              <w:rPr>
                <w:rFonts w:ascii="宋体" w:hAnsi="宋体"/>
                <w:color w:val="auto"/>
                <w:sz w:val="22"/>
                <w:szCs w:val="22"/>
                <w:highlight w:val="none"/>
              </w:rPr>
            </w:pPr>
          </w:p>
        </w:tc>
        <w:tc>
          <w:tcPr>
            <w:tcW w:w="1758" w:type="dxa"/>
          </w:tcPr>
          <w:p w14:paraId="7F3598B5">
            <w:pPr>
              <w:pStyle w:val="2"/>
              <w:spacing w:before="120" w:line="340" w:lineRule="exact"/>
              <w:jc w:val="center"/>
              <w:rPr>
                <w:rFonts w:ascii="宋体" w:hAnsi="宋体"/>
                <w:color w:val="auto"/>
                <w:sz w:val="22"/>
                <w:szCs w:val="22"/>
                <w:highlight w:val="none"/>
              </w:rPr>
            </w:pPr>
          </w:p>
        </w:tc>
      </w:tr>
      <w:tr w14:paraId="1569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jc w:val="center"/>
        </w:trPr>
        <w:tc>
          <w:tcPr>
            <w:tcW w:w="5092" w:type="dxa"/>
            <w:gridSpan w:val="2"/>
            <w:vAlign w:val="center"/>
          </w:tcPr>
          <w:p w14:paraId="4BCE0E6E">
            <w:pPr>
              <w:pStyle w:val="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合计报价</w:t>
            </w:r>
          </w:p>
        </w:tc>
        <w:tc>
          <w:tcPr>
            <w:tcW w:w="3828" w:type="dxa"/>
            <w:gridSpan w:val="2"/>
            <w:vAlign w:val="center"/>
          </w:tcPr>
          <w:p w14:paraId="7ECA248F">
            <w:pPr>
              <w:pStyle w:val="2"/>
              <w:spacing w:before="120" w:line="340" w:lineRule="exact"/>
              <w:jc w:val="center"/>
              <w:rPr>
                <w:rFonts w:ascii="宋体" w:hAnsi="宋体"/>
                <w:color w:val="auto"/>
                <w:sz w:val="22"/>
                <w:szCs w:val="22"/>
                <w:highlight w:val="none"/>
              </w:rPr>
            </w:pPr>
          </w:p>
        </w:tc>
      </w:tr>
    </w:tbl>
    <w:p w14:paraId="3D1FAC3A">
      <w:pPr>
        <w:rPr>
          <w:rFonts w:ascii="宋体" w:hAnsi="宋体"/>
          <w:color w:val="auto"/>
          <w:szCs w:val="21"/>
          <w:highlight w:val="none"/>
        </w:rPr>
      </w:pPr>
      <w:r>
        <w:rPr>
          <w:rFonts w:hAnsi="宋体"/>
          <w:color w:val="auto"/>
          <w:highlight w:val="none"/>
        </w:rPr>
        <w:t xml:space="preserve">        </w:t>
      </w:r>
    </w:p>
    <w:p w14:paraId="7CE0E7A1">
      <w:pPr>
        <w:autoSpaceDE w:val="0"/>
        <w:autoSpaceDN w:val="0"/>
        <w:adjustRightInd w:val="0"/>
        <w:spacing w:line="440" w:lineRule="atLeast"/>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▲注：</w:t>
      </w:r>
    </w:p>
    <w:p w14:paraId="52FACCF9">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1、不提供此表格的将视为没有实质性响应招标文件。</w:t>
      </w:r>
    </w:p>
    <w:p w14:paraId="16BD34AD">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2、此表的投标总价应与附件一（一）“开标一览表”中的投标报价相一致。</w:t>
      </w:r>
    </w:p>
    <w:p w14:paraId="46E9DA35">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3、根据《中华人民共和国政府采购法实施条例 》第四十三条规定，在中标或者成交公告的内容中可能增加本表，请各供应商认真填写，确保报价数据的真实性、完整性和合理性。</w:t>
      </w:r>
    </w:p>
    <w:p w14:paraId="7D7D834E">
      <w:pPr>
        <w:autoSpaceDE w:val="0"/>
        <w:autoSpaceDN w:val="0"/>
        <w:adjustRightInd w:val="0"/>
        <w:spacing w:line="440" w:lineRule="atLeast"/>
        <w:ind w:firstLine="420"/>
        <w:rPr>
          <w:rFonts w:ascii="宋体" w:hAnsi="宋体" w:cs="仿宋_GB2312"/>
          <w:b/>
          <w:bCs/>
          <w:color w:val="auto"/>
          <w:szCs w:val="21"/>
          <w:highlight w:val="none"/>
          <w:u w:val="single"/>
        </w:rPr>
      </w:pPr>
      <w:r>
        <w:rPr>
          <w:rFonts w:hint="eastAsia" w:ascii="宋体" w:hAnsi="宋体" w:cs="仿宋_GB2312"/>
          <w:b/>
          <w:bCs/>
          <w:color w:val="auto"/>
          <w:sz w:val="22"/>
          <w:szCs w:val="22"/>
          <w:highlight w:val="none"/>
          <w:u w:val="single"/>
        </w:rPr>
        <w:t>4、表格可以延续。</w:t>
      </w:r>
      <w:r>
        <w:rPr>
          <w:rFonts w:hint="eastAsia" w:ascii="宋体" w:hAnsi="宋体" w:cs="仿宋_GB2312"/>
          <w:b/>
          <w:bCs/>
          <w:color w:val="auto"/>
          <w:szCs w:val="21"/>
          <w:highlight w:val="none"/>
          <w:u w:val="single"/>
        </w:rPr>
        <w:t xml:space="preserve"> </w:t>
      </w:r>
    </w:p>
    <w:p w14:paraId="64A742BF">
      <w:pPr>
        <w:pStyle w:val="17"/>
        <w:spacing w:line="460" w:lineRule="atLeast"/>
        <w:ind w:firstLine="770" w:firstLineChars="350"/>
        <w:rPr>
          <w:rFonts w:hAnsi="宋体"/>
          <w:color w:val="auto"/>
          <w:sz w:val="22"/>
          <w:szCs w:val="22"/>
          <w:highlight w:val="none"/>
        </w:rPr>
      </w:pPr>
    </w:p>
    <w:p w14:paraId="73E10B74">
      <w:pPr>
        <w:pStyle w:val="17"/>
        <w:spacing w:line="460" w:lineRule="atLeast"/>
        <w:rPr>
          <w:rFonts w:hAnsi="宋体"/>
          <w:color w:val="auto"/>
          <w:sz w:val="22"/>
          <w:szCs w:val="22"/>
          <w:highlight w:val="none"/>
        </w:rPr>
      </w:pPr>
      <w:r>
        <w:rPr>
          <w:rFonts w:hint="eastAsia" w:hAnsi="宋体"/>
          <w:color w:val="auto"/>
          <w:sz w:val="22"/>
          <w:szCs w:val="22"/>
          <w:highlight w:val="none"/>
        </w:rPr>
        <w:t>投标供应商（盖章）：</w:t>
      </w:r>
    </w:p>
    <w:p w14:paraId="48D3B2EF">
      <w:pPr>
        <w:pStyle w:val="17"/>
        <w:spacing w:line="460" w:lineRule="atLeast"/>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4A874161">
      <w:pPr>
        <w:rPr>
          <w:color w:val="auto"/>
          <w:highlight w:val="none"/>
        </w:rPr>
        <w:sectPr>
          <w:footerReference r:id="rId8" w:type="default"/>
          <w:pgSz w:w="11906" w:h="16838"/>
          <w:pgMar w:top="1134" w:right="1134" w:bottom="1134" w:left="1134" w:header="851" w:footer="992" w:gutter="0"/>
          <w:cols w:space="720" w:num="1"/>
          <w:docGrid w:type="lines" w:linePitch="324" w:charSpace="0"/>
        </w:sectPr>
      </w:pPr>
      <w:r>
        <w:rPr>
          <w:rFonts w:hint="eastAsia" w:hAnsi="宋体"/>
          <w:color w:val="auto"/>
          <w:sz w:val="22"/>
          <w:szCs w:val="22"/>
          <w:highlight w:val="none"/>
        </w:rPr>
        <w:t>日期：</w:t>
      </w:r>
    </w:p>
    <w:p w14:paraId="24AE546E">
      <w:pPr>
        <w:jc w:val="left"/>
        <w:rPr>
          <w:rFonts w:ascii="宋体" w:hAnsi="宋体"/>
          <w:b/>
          <w:color w:val="auto"/>
          <w:sz w:val="32"/>
          <w:szCs w:val="32"/>
          <w:highlight w:val="none"/>
        </w:rPr>
      </w:pPr>
      <w:r>
        <w:rPr>
          <w:rFonts w:hint="eastAsia" w:ascii="宋体" w:hAnsi="宋体"/>
          <w:b/>
          <w:color w:val="auto"/>
          <w:sz w:val="32"/>
          <w:szCs w:val="32"/>
          <w:highlight w:val="none"/>
        </w:rPr>
        <w:t>附件三</w:t>
      </w:r>
    </w:p>
    <w:p w14:paraId="32F3B8EB">
      <w:pPr>
        <w:jc w:val="center"/>
        <w:rPr>
          <w:rFonts w:ascii="宋体"/>
          <w:color w:val="auto"/>
          <w:sz w:val="36"/>
          <w:szCs w:val="36"/>
          <w:highlight w:val="none"/>
          <w:lang w:val="zh-CN"/>
        </w:rPr>
      </w:pPr>
    </w:p>
    <w:p w14:paraId="10A82C24">
      <w:pPr>
        <w:jc w:val="center"/>
        <w:rPr>
          <w:rFonts w:ascii="宋体"/>
          <w:color w:val="auto"/>
          <w:sz w:val="36"/>
          <w:szCs w:val="36"/>
          <w:highlight w:val="none"/>
          <w:lang w:val="zh-CN"/>
        </w:rPr>
      </w:pPr>
    </w:p>
    <w:p w14:paraId="105E45AC">
      <w:pPr>
        <w:jc w:val="center"/>
        <w:rPr>
          <w:rFonts w:ascii="宋体"/>
          <w:color w:val="auto"/>
          <w:sz w:val="36"/>
          <w:szCs w:val="36"/>
          <w:highlight w:val="none"/>
          <w:lang w:val="zh-CN"/>
        </w:rPr>
      </w:pPr>
      <w:r>
        <w:rPr>
          <w:rFonts w:hint="eastAsia" w:ascii="宋体"/>
          <w:color w:val="auto"/>
          <w:sz w:val="36"/>
          <w:szCs w:val="36"/>
          <w:highlight w:val="none"/>
          <w:lang w:val="zh-CN"/>
        </w:rPr>
        <w:t>具有履行合同所必需的设备和专业技术能力的承诺函</w:t>
      </w:r>
    </w:p>
    <w:p w14:paraId="7BAD4D54">
      <w:pPr>
        <w:jc w:val="left"/>
        <w:rPr>
          <w:rFonts w:ascii="宋体" w:hAnsi="宋体"/>
          <w:color w:val="auto"/>
          <w:sz w:val="22"/>
          <w:highlight w:val="none"/>
          <w:u w:val="single"/>
        </w:rPr>
      </w:pPr>
    </w:p>
    <w:p w14:paraId="2B9D3636">
      <w:pPr>
        <w:jc w:val="left"/>
        <w:rPr>
          <w:rFonts w:ascii="宋体" w:hAnsi="宋体"/>
          <w:color w:val="auto"/>
          <w:sz w:val="22"/>
          <w:highlight w:val="none"/>
          <w:u w:val="single"/>
        </w:rPr>
      </w:pPr>
    </w:p>
    <w:p w14:paraId="40EFBA21">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泰顺县自然资源和规划局</w:t>
      </w:r>
      <w:r>
        <w:rPr>
          <w:rFonts w:hint="eastAsia" w:ascii="宋体" w:hAnsi="宋体"/>
          <w:color w:val="auto"/>
          <w:sz w:val="22"/>
          <w:highlight w:val="none"/>
          <w:u w:val="single"/>
        </w:rPr>
        <w:t>、温州久恒工程项目管理有限公司：</w:t>
      </w:r>
    </w:p>
    <w:p w14:paraId="17F16B14">
      <w:pPr>
        <w:widowControl/>
        <w:snapToGrid w:val="0"/>
        <w:spacing w:line="460" w:lineRule="exact"/>
        <w:ind w:firstLine="440" w:firstLineChars="200"/>
        <w:jc w:val="left"/>
        <w:rPr>
          <w:rFonts w:ascii="宋体" w:hAnsi="宋体" w:cs="Courier New"/>
          <w:color w:val="auto"/>
          <w:sz w:val="22"/>
          <w:highlight w:val="none"/>
        </w:rPr>
      </w:pPr>
    </w:p>
    <w:p w14:paraId="39E12F94">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承诺具有履行合同所必需的设备、人员和专业技术能力。如有虚假，采购单位可取消我方任何资格（投标/中标/签订合同），我方对此无任何异议。</w:t>
      </w:r>
    </w:p>
    <w:p w14:paraId="1BE813E8">
      <w:pPr>
        <w:spacing w:line="460" w:lineRule="exact"/>
        <w:ind w:firstLine="440" w:firstLineChars="200"/>
        <w:rPr>
          <w:rFonts w:ascii="宋体" w:hAnsi="宋体" w:cs="黑体"/>
          <w:color w:val="auto"/>
          <w:sz w:val="22"/>
          <w:highlight w:val="none"/>
          <w:lang w:val="zh-CN"/>
        </w:rPr>
      </w:pPr>
    </w:p>
    <w:p w14:paraId="525FC94A">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69FC8035">
      <w:pPr>
        <w:spacing w:line="460" w:lineRule="exact"/>
        <w:ind w:firstLine="440" w:firstLineChars="200"/>
        <w:rPr>
          <w:rFonts w:ascii="宋体" w:hAnsi="宋体" w:cs="黑体"/>
          <w:color w:val="auto"/>
          <w:sz w:val="22"/>
          <w:highlight w:val="none"/>
          <w:lang w:val="zh-CN"/>
        </w:rPr>
      </w:pPr>
    </w:p>
    <w:p w14:paraId="37319047">
      <w:pPr>
        <w:spacing w:line="460" w:lineRule="exact"/>
        <w:ind w:firstLine="440" w:firstLineChars="200"/>
        <w:rPr>
          <w:rFonts w:ascii="宋体" w:hAnsi="宋体" w:cs="黑体"/>
          <w:color w:val="auto"/>
          <w:sz w:val="22"/>
          <w:highlight w:val="none"/>
          <w:lang w:val="zh-CN"/>
        </w:rPr>
      </w:pPr>
    </w:p>
    <w:p w14:paraId="476DBB66">
      <w:pPr>
        <w:spacing w:line="460" w:lineRule="exact"/>
        <w:ind w:firstLine="440" w:firstLineChars="200"/>
        <w:rPr>
          <w:rFonts w:ascii="宋体" w:hAnsi="宋体" w:cs="黑体"/>
          <w:color w:val="auto"/>
          <w:sz w:val="22"/>
          <w:highlight w:val="none"/>
          <w:lang w:val="zh-CN"/>
        </w:rPr>
      </w:pPr>
    </w:p>
    <w:p w14:paraId="30B38105">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5984BF3C">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60B3976D">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2106CB96">
      <w:pPr>
        <w:autoSpaceDE w:val="0"/>
        <w:autoSpaceDN w:val="0"/>
        <w:adjustRightInd w:val="0"/>
        <w:spacing w:line="440" w:lineRule="atLeast"/>
        <w:rPr>
          <w:rFonts w:hAnsi="宋体"/>
          <w:b/>
          <w:bCs/>
          <w:color w:val="auto"/>
          <w:sz w:val="32"/>
          <w:szCs w:val="32"/>
          <w:highlight w:val="none"/>
        </w:rPr>
      </w:pPr>
    </w:p>
    <w:p w14:paraId="612F6A58">
      <w:pPr>
        <w:autoSpaceDE w:val="0"/>
        <w:autoSpaceDN w:val="0"/>
        <w:adjustRightInd w:val="0"/>
        <w:spacing w:line="440" w:lineRule="atLeast"/>
        <w:rPr>
          <w:rFonts w:hAnsi="宋体"/>
          <w:b/>
          <w:bCs/>
          <w:color w:val="auto"/>
          <w:sz w:val="32"/>
          <w:szCs w:val="32"/>
          <w:highlight w:val="none"/>
        </w:rPr>
      </w:pPr>
    </w:p>
    <w:p w14:paraId="2449C75F">
      <w:pPr>
        <w:autoSpaceDE w:val="0"/>
        <w:autoSpaceDN w:val="0"/>
        <w:adjustRightInd w:val="0"/>
        <w:spacing w:line="440" w:lineRule="atLeast"/>
        <w:rPr>
          <w:rFonts w:hAnsi="宋体"/>
          <w:b/>
          <w:bCs/>
          <w:color w:val="auto"/>
          <w:sz w:val="32"/>
          <w:szCs w:val="32"/>
          <w:highlight w:val="none"/>
        </w:rPr>
      </w:pPr>
    </w:p>
    <w:p w14:paraId="11054C6F">
      <w:pPr>
        <w:autoSpaceDE w:val="0"/>
        <w:autoSpaceDN w:val="0"/>
        <w:adjustRightInd w:val="0"/>
        <w:spacing w:line="440" w:lineRule="atLeast"/>
        <w:rPr>
          <w:rFonts w:hAnsi="宋体"/>
          <w:b/>
          <w:bCs/>
          <w:color w:val="auto"/>
          <w:sz w:val="32"/>
          <w:szCs w:val="32"/>
          <w:highlight w:val="none"/>
        </w:rPr>
      </w:pPr>
    </w:p>
    <w:p w14:paraId="0BC4E063">
      <w:pPr>
        <w:autoSpaceDE w:val="0"/>
        <w:autoSpaceDN w:val="0"/>
        <w:adjustRightInd w:val="0"/>
        <w:spacing w:line="440" w:lineRule="atLeast"/>
        <w:rPr>
          <w:rFonts w:hAnsi="宋体"/>
          <w:b/>
          <w:bCs/>
          <w:color w:val="auto"/>
          <w:sz w:val="32"/>
          <w:szCs w:val="32"/>
          <w:highlight w:val="none"/>
        </w:rPr>
      </w:pPr>
    </w:p>
    <w:p w14:paraId="0EBF0880">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附件四</w:t>
      </w:r>
    </w:p>
    <w:p w14:paraId="465DAD18">
      <w:pPr>
        <w:jc w:val="center"/>
        <w:rPr>
          <w:rFonts w:ascii="宋体"/>
          <w:color w:val="auto"/>
          <w:sz w:val="36"/>
          <w:szCs w:val="36"/>
          <w:highlight w:val="none"/>
          <w:lang w:val="zh-CN"/>
        </w:rPr>
      </w:pPr>
    </w:p>
    <w:p w14:paraId="68E3232B">
      <w:pPr>
        <w:jc w:val="center"/>
        <w:rPr>
          <w:rFonts w:ascii="宋体"/>
          <w:color w:val="auto"/>
          <w:sz w:val="36"/>
          <w:szCs w:val="36"/>
          <w:highlight w:val="none"/>
          <w:lang w:val="zh-CN"/>
        </w:rPr>
      </w:pPr>
    </w:p>
    <w:p w14:paraId="06BE9BC5">
      <w:pPr>
        <w:jc w:val="center"/>
        <w:rPr>
          <w:rFonts w:ascii="宋体"/>
          <w:color w:val="auto"/>
          <w:sz w:val="36"/>
          <w:szCs w:val="36"/>
          <w:highlight w:val="none"/>
        </w:rPr>
      </w:pPr>
      <w:r>
        <w:rPr>
          <w:rFonts w:hint="eastAsia" w:ascii="宋体"/>
          <w:color w:val="auto"/>
          <w:sz w:val="36"/>
          <w:szCs w:val="36"/>
          <w:highlight w:val="none"/>
        </w:rPr>
        <w:t>依法缴纳税收和社会保障资金的承诺函</w:t>
      </w:r>
    </w:p>
    <w:p w14:paraId="2B710BE1">
      <w:pPr>
        <w:spacing w:line="360" w:lineRule="auto"/>
        <w:rPr>
          <w:rFonts w:ascii="仿宋" w:hAnsi="仿宋" w:eastAsia="仿宋" w:cs="Arial"/>
          <w:b/>
          <w:color w:val="auto"/>
          <w:w w:val="90"/>
          <w:sz w:val="28"/>
          <w:highlight w:val="none"/>
          <w:u w:val="single"/>
        </w:rPr>
      </w:pPr>
    </w:p>
    <w:p w14:paraId="59A12A2D">
      <w:pPr>
        <w:spacing w:line="360" w:lineRule="auto"/>
        <w:rPr>
          <w:rFonts w:ascii="宋体" w:hAnsi="宋体"/>
          <w:color w:val="auto"/>
          <w:sz w:val="22"/>
          <w:highlight w:val="none"/>
          <w:u w:val="single"/>
        </w:rPr>
      </w:pPr>
      <w:r>
        <w:rPr>
          <w:rFonts w:hint="eastAsia" w:ascii="宋体" w:hAnsi="宋体"/>
          <w:color w:val="auto"/>
          <w:sz w:val="22"/>
          <w:highlight w:val="none"/>
          <w:u w:val="single"/>
          <w:lang w:eastAsia="zh-CN"/>
        </w:rPr>
        <w:t>泰顺县自然资源和规划局</w:t>
      </w:r>
      <w:r>
        <w:rPr>
          <w:rFonts w:hint="eastAsia" w:ascii="宋体" w:hAnsi="宋体"/>
          <w:color w:val="auto"/>
          <w:sz w:val="22"/>
          <w:highlight w:val="none"/>
          <w:u w:val="single"/>
        </w:rPr>
        <w:t>、温州久恒工程项目管理有限公司：</w:t>
      </w:r>
    </w:p>
    <w:p w14:paraId="09223FB1">
      <w:pPr>
        <w:spacing w:line="360" w:lineRule="auto"/>
        <w:rPr>
          <w:rFonts w:ascii="仿宋" w:hAnsi="仿宋" w:eastAsia="仿宋" w:cs="Arial"/>
          <w:color w:val="auto"/>
          <w:sz w:val="32"/>
          <w:szCs w:val="28"/>
          <w:highlight w:val="none"/>
        </w:rPr>
      </w:pPr>
    </w:p>
    <w:p w14:paraId="20EFC8B4">
      <w:pPr>
        <w:spacing w:line="460" w:lineRule="exact"/>
        <w:ind w:firstLine="440" w:firstLineChars="200"/>
        <w:rPr>
          <w:rFonts w:ascii="宋体" w:hAnsi="宋体" w:cs="黑体"/>
          <w:color w:val="auto"/>
          <w:sz w:val="22"/>
          <w:highlight w:val="none"/>
        </w:rPr>
      </w:pPr>
      <w:r>
        <w:rPr>
          <w:rFonts w:hint="eastAsia" w:ascii="宋体" w:hAnsi="宋体" w:cs="黑体"/>
          <w:color w:val="auto"/>
          <w:sz w:val="22"/>
          <w:highlight w:val="none"/>
        </w:rPr>
        <w:t>我公司郑重声明，我公司严格依法缴纳税收和社会保障资金，本文件中所提供的相关材料均真实有效，不存在虚假、造假行为。如有违反，愿承担一切责任。</w:t>
      </w:r>
    </w:p>
    <w:p w14:paraId="732381F1">
      <w:pPr>
        <w:spacing w:line="360" w:lineRule="auto"/>
        <w:rPr>
          <w:rFonts w:ascii="宋体" w:hAnsi="宋体"/>
          <w:color w:val="auto"/>
          <w:sz w:val="22"/>
          <w:highlight w:val="none"/>
        </w:rPr>
      </w:pPr>
    </w:p>
    <w:p w14:paraId="4286391F">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特此承诺！</w:t>
      </w:r>
    </w:p>
    <w:p w14:paraId="50273B78">
      <w:pPr>
        <w:spacing w:line="360" w:lineRule="auto"/>
        <w:ind w:firstLine="420" w:firstLineChars="200"/>
        <w:rPr>
          <w:rFonts w:ascii="仿宋" w:hAnsi="仿宋" w:eastAsia="仿宋" w:cs="Arial"/>
          <w:color w:val="auto"/>
          <w:highlight w:val="none"/>
        </w:rPr>
      </w:pPr>
    </w:p>
    <w:p w14:paraId="24D817CC">
      <w:pPr>
        <w:spacing w:line="360" w:lineRule="auto"/>
        <w:ind w:firstLine="420" w:firstLineChars="200"/>
        <w:rPr>
          <w:rFonts w:ascii="仿宋" w:hAnsi="仿宋" w:eastAsia="仿宋" w:cs="Arial"/>
          <w:color w:val="auto"/>
          <w:highlight w:val="none"/>
        </w:rPr>
      </w:pPr>
    </w:p>
    <w:p w14:paraId="2A22C1C6">
      <w:pPr>
        <w:spacing w:line="360" w:lineRule="auto"/>
        <w:ind w:firstLine="420" w:firstLineChars="200"/>
        <w:rPr>
          <w:rFonts w:ascii="仿宋" w:hAnsi="仿宋" w:eastAsia="仿宋" w:cs="Arial"/>
          <w:color w:val="auto"/>
          <w:highlight w:val="none"/>
        </w:rPr>
      </w:pPr>
    </w:p>
    <w:p w14:paraId="30F845BE">
      <w:pPr>
        <w:pStyle w:val="17"/>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供应商全称（盖章）：</w:t>
      </w:r>
    </w:p>
    <w:p w14:paraId="049455A4">
      <w:pPr>
        <w:pStyle w:val="17"/>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582612B4">
      <w:pPr>
        <w:pStyle w:val="17"/>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日期：</w:t>
      </w:r>
    </w:p>
    <w:p w14:paraId="127FFCBB">
      <w:pPr>
        <w:pStyle w:val="17"/>
        <w:spacing w:line="460" w:lineRule="atLeast"/>
        <w:ind w:firstLine="773" w:firstLineChars="350"/>
        <w:rPr>
          <w:rFonts w:hAnsi="宋体"/>
          <w:b/>
          <w:bCs/>
          <w:color w:val="auto"/>
          <w:sz w:val="22"/>
          <w:szCs w:val="22"/>
          <w:highlight w:val="none"/>
        </w:rPr>
      </w:pPr>
    </w:p>
    <w:p w14:paraId="0F5DE56D">
      <w:pPr>
        <w:pStyle w:val="17"/>
        <w:spacing w:line="460" w:lineRule="atLeast"/>
        <w:ind w:firstLine="773" w:firstLineChars="350"/>
        <w:rPr>
          <w:rFonts w:hAnsi="宋体"/>
          <w:b/>
          <w:bCs/>
          <w:color w:val="auto"/>
          <w:sz w:val="22"/>
          <w:szCs w:val="22"/>
          <w:highlight w:val="none"/>
        </w:rPr>
      </w:pPr>
    </w:p>
    <w:p w14:paraId="5A217101">
      <w:pPr>
        <w:spacing w:line="440" w:lineRule="exact"/>
        <w:jc w:val="left"/>
        <w:rPr>
          <w:rFonts w:hAnsi="宋体"/>
          <w:b/>
          <w:bCs/>
          <w:color w:val="auto"/>
          <w:sz w:val="22"/>
          <w:highlight w:val="none"/>
          <w:u w:val="single"/>
        </w:rPr>
      </w:pPr>
      <w:r>
        <w:rPr>
          <w:rFonts w:hint="eastAsia" w:hAnsi="宋体" w:cs="仿宋_GB2312"/>
          <w:b/>
          <w:color w:val="auto"/>
          <w:sz w:val="22"/>
          <w:highlight w:val="none"/>
          <w:u w:val="single"/>
          <w:lang w:val="zh-CN"/>
        </w:rPr>
        <w:t>▲备注</w:t>
      </w:r>
      <w:r>
        <w:rPr>
          <w:rFonts w:hint="eastAsia" w:hAnsi="宋体"/>
          <w:b/>
          <w:bCs/>
          <w:color w:val="auto"/>
          <w:sz w:val="22"/>
          <w:highlight w:val="none"/>
          <w:u w:val="single"/>
        </w:rPr>
        <w:t>：承诺函后附依法缴纳税收的证明材料、依法缴纳社保的证明材料（新成立单位，应提供情况说明）</w:t>
      </w:r>
    </w:p>
    <w:p w14:paraId="29246F2E">
      <w:pPr>
        <w:autoSpaceDE w:val="0"/>
        <w:autoSpaceDN w:val="0"/>
        <w:adjustRightInd w:val="0"/>
        <w:spacing w:line="440" w:lineRule="atLeast"/>
        <w:rPr>
          <w:rFonts w:hAnsi="宋体"/>
          <w:b/>
          <w:bCs/>
          <w:color w:val="auto"/>
          <w:sz w:val="32"/>
          <w:szCs w:val="32"/>
          <w:highlight w:val="none"/>
        </w:rPr>
      </w:pPr>
    </w:p>
    <w:p w14:paraId="2466ADC8">
      <w:pPr>
        <w:pStyle w:val="5"/>
        <w:rPr>
          <w:rFonts w:hAnsi="宋体"/>
          <w:b/>
          <w:bCs/>
          <w:color w:val="auto"/>
          <w:sz w:val="32"/>
          <w:szCs w:val="32"/>
          <w:highlight w:val="none"/>
        </w:rPr>
      </w:pPr>
    </w:p>
    <w:p w14:paraId="168D93FB">
      <w:pPr>
        <w:pStyle w:val="5"/>
        <w:rPr>
          <w:rFonts w:hAnsi="宋体"/>
          <w:b/>
          <w:bCs/>
          <w:color w:val="auto"/>
          <w:sz w:val="32"/>
          <w:szCs w:val="32"/>
          <w:highlight w:val="none"/>
        </w:rPr>
      </w:pPr>
    </w:p>
    <w:p w14:paraId="3D46C0A1">
      <w:pPr>
        <w:pStyle w:val="5"/>
        <w:rPr>
          <w:rFonts w:hAnsi="宋体"/>
          <w:b/>
          <w:bCs/>
          <w:color w:val="auto"/>
          <w:sz w:val="32"/>
          <w:szCs w:val="32"/>
          <w:highlight w:val="none"/>
        </w:rPr>
      </w:pPr>
    </w:p>
    <w:p w14:paraId="208C646D">
      <w:pPr>
        <w:pStyle w:val="5"/>
        <w:rPr>
          <w:rFonts w:hAnsi="宋体"/>
          <w:b/>
          <w:bCs/>
          <w:color w:val="auto"/>
          <w:sz w:val="32"/>
          <w:szCs w:val="32"/>
          <w:highlight w:val="none"/>
        </w:rPr>
      </w:pPr>
    </w:p>
    <w:p w14:paraId="30BD30DA">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附件五</w:t>
      </w:r>
    </w:p>
    <w:p w14:paraId="4A86C419">
      <w:pPr>
        <w:jc w:val="center"/>
        <w:rPr>
          <w:rFonts w:ascii="宋体"/>
          <w:color w:val="auto"/>
          <w:sz w:val="36"/>
          <w:szCs w:val="36"/>
          <w:highlight w:val="none"/>
          <w:lang w:val="zh-CN"/>
        </w:rPr>
      </w:pPr>
    </w:p>
    <w:p w14:paraId="6EEA12AF">
      <w:pPr>
        <w:jc w:val="center"/>
        <w:rPr>
          <w:rFonts w:ascii="宋体"/>
          <w:color w:val="auto"/>
          <w:sz w:val="36"/>
          <w:szCs w:val="36"/>
          <w:highlight w:val="none"/>
          <w:lang w:val="zh-CN"/>
        </w:rPr>
      </w:pPr>
      <w:r>
        <w:rPr>
          <w:rFonts w:hint="eastAsia" w:ascii="宋体"/>
          <w:color w:val="auto"/>
          <w:sz w:val="36"/>
          <w:szCs w:val="36"/>
          <w:highlight w:val="none"/>
          <w:lang w:val="zh-CN"/>
        </w:rPr>
        <w:t>参加政府采购活动前3年内</w:t>
      </w:r>
    </w:p>
    <w:p w14:paraId="584FAAF3">
      <w:pPr>
        <w:jc w:val="center"/>
        <w:rPr>
          <w:rFonts w:ascii="宋体"/>
          <w:color w:val="auto"/>
          <w:sz w:val="36"/>
          <w:szCs w:val="36"/>
          <w:highlight w:val="none"/>
          <w:lang w:val="zh-CN"/>
        </w:rPr>
      </w:pPr>
      <w:r>
        <w:rPr>
          <w:rFonts w:hint="eastAsia" w:ascii="宋体"/>
          <w:color w:val="auto"/>
          <w:sz w:val="36"/>
          <w:szCs w:val="36"/>
          <w:highlight w:val="none"/>
          <w:lang w:val="zh-CN"/>
        </w:rPr>
        <w:t>在经营活动中没有重大违法记录的声明函</w:t>
      </w:r>
    </w:p>
    <w:p w14:paraId="113BD333">
      <w:pPr>
        <w:jc w:val="left"/>
        <w:rPr>
          <w:rFonts w:ascii="宋体" w:hAnsi="宋体"/>
          <w:color w:val="auto"/>
          <w:sz w:val="22"/>
          <w:highlight w:val="none"/>
          <w:u w:val="single"/>
        </w:rPr>
      </w:pPr>
    </w:p>
    <w:p w14:paraId="7B8972A0">
      <w:pPr>
        <w:jc w:val="left"/>
        <w:rPr>
          <w:rFonts w:ascii="宋体" w:hAnsi="宋体"/>
          <w:color w:val="auto"/>
          <w:sz w:val="22"/>
          <w:highlight w:val="none"/>
          <w:u w:val="single"/>
        </w:rPr>
      </w:pPr>
    </w:p>
    <w:p w14:paraId="5B9F22A2">
      <w:pPr>
        <w:jc w:val="left"/>
        <w:rPr>
          <w:rFonts w:ascii="宋体" w:hAnsi="宋体"/>
          <w:color w:val="auto"/>
          <w:sz w:val="22"/>
          <w:highlight w:val="none"/>
          <w:u w:val="single"/>
        </w:rPr>
      </w:pPr>
    </w:p>
    <w:p w14:paraId="34D11FF9">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泰顺县自然资源和规划局</w:t>
      </w:r>
      <w:r>
        <w:rPr>
          <w:rFonts w:hint="eastAsia" w:ascii="宋体" w:hAnsi="宋体"/>
          <w:color w:val="auto"/>
          <w:sz w:val="22"/>
          <w:highlight w:val="none"/>
          <w:u w:val="single"/>
        </w:rPr>
        <w:t>、温州久恒工程项目管理有限公司：</w:t>
      </w:r>
    </w:p>
    <w:p w14:paraId="1351AA7A">
      <w:pPr>
        <w:jc w:val="center"/>
        <w:rPr>
          <w:rFonts w:ascii="宋体" w:hAnsi="宋体"/>
          <w:color w:val="auto"/>
          <w:sz w:val="22"/>
          <w:highlight w:val="none"/>
          <w:u w:val="single"/>
        </w:rPr>
      </w:pPr>
    </w:p>
    <w:p w14:paraId="083FC046">
      <w:pPr>
        <w:jc w:val="center"/>
        <w:rPr>
          <w:rFonts w:ascii="宋体" w:hAnsi="宋体"/>
          <w:color w:val="auto"/>
          <w:sz w:val="22"/>
          <w:highlight w:val="none"/>
          <w:u w:val="single"/>
        </w:rPr>
      </w:pPr>
    </w:p>
    <w:p w14:paraId="22B72DCE">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中标/签订合同），我方对此无任何异议。</w:t>
      </w:r>
    </w:p>
    <w:p w14:paraId="3EBC5F6C">
      <w:pPr>
        <w:spacing w:line="460" w:lineRule="exact"/>
        <w:ind w:firstLine="440" w:firstLineChars="200"/>
        <w:rPr>
          <w:rFonts w:ascii="宋体" w:hAnsi="宋体" w:cs="黑体"/>
          <w:color w:val="auto"/>
          <w:sz w:val="22"/>
          <w:highlight w:val="none"/>
          <w:lang w:val="zh-CN"/>
        </w:rPr>
      </w:pPr>
    </w:p>
    <w:p w14:paraId="3D9678DA">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7DBBF623">
      <w:pPr>
        <w:spacing w:line="460" w:lineRule="exact"/>
        <w:ind w:firstLine="440" w:firstLineChars="200"/>
        <w:rPr>
          <w:rFonts w:ascii="宋体" w:hAnsi="宋体" w:cs="黑体"/>
          <w:color w:val="auto"/>
          <w:sz w:val="22"/>
          <w:highlight w:val="none"/>
          <w:lang w:val="zh-CN"/>
        </w:rPr>
      </w:pPr>
    </w:p>
    <w:p w14:paraId="2F133F99">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7D160BAC">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4D372641">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40A23A75">
      <w:pPr>
        <w:jc w:val="center"/>
        <w:rPr>
          <w:rFonts w:ascii="宋体"/>
          <w:color w:val="auto"/>
          <w:sz w:val="36"/>
          <w:szCs w:val="36"/>
          <w:highlight w:val="none"/>
          <w:lang w:val="zh-CN"/>
        </w:rPr>
      </w:pPr>
    </w:p>
    <w:p w14:paraId="2AAD7FC0">
      <w:pPr>
        <w:pStyle w:val="17"/>
        <w:adjustRightInd w:val="0"/>
        <w:snapToGrid w:val="0"/>
        <w:spacing w:line="340" w:lineRule="atLeast"/>
        <w:rPr>
          <w:rFonts w:hAnsi="宋体"/>
          <w:b/>
          <w:color w:val="auto"/>
          <w:sz w:val="32"/>
          <w:szCs w:val="32"/>
          <w:highlight w:val="none"/>
        </w:rPr>
      </w:pPr>
    </w:p>
    <w:p w14:paraId="3DFFC80A">
      <w:pPr>
        <w:pStyle w:val="17"/>
        <w:adjustRightInd w:val="0"/>
        <w:snapToGrid w:val="0"/>
        <w:spacing w:line="340" w:lineRule="atLeast"/>
        <w:rPr>
          <w:rFonts w:hAnsi="宋体"/>
          <w:b/>
          <w:color w:val="auto"/>
          <w:sz w:val="32"/>
          <w:szCs w:val="32"/>
          <w:highlight w:val="none"/>
        </w:rPr>
      </w:pPr>
    </w:p>
    <w:p w14:paraId="766C6A46">
      <w:pPr>
        <w:pStyle w:val="17"/>
        <w:adjustRightInd w:val="0"/>
        <w:snapToGrid w:val="0"/>
        <w:spacing w:line="340" w:lineRule="atLeast"/>
        <w:rPr>
          <w:rFonts w:hAnsi="宋体"/>
          <w:b/>
          <w:color w:val="auto"/>
          <w:sz w:val="32"/>
          <w:szCs w:val="32"/>
          <w:highlight w:val="none"/>
        </w:rPr>
      </w:pPr>
    </w:p>
    <w:p w14:paraId="43875789">
      <w:pPr>
        <w:autoSpaceDE w:val="0"/>
        <w:autoSpaceDN w:val="0"/>
        <w:adjustRightInd w:val="0"/>
        <w:jc w:val="left"/>
        <w:outlineLvl w:val="0"/>
        <w:rPr>
          <w:rFonts w:ascii="宋体"/>
          <w:b/>
          <w:bCs/>
          <w:color w:val="auto"/>
          <w:sz w:val="32"/>
          <w:szCs w:val="32"/>
          <w:highlight w:val="none"/>
        </w:rPr>
      </w:pPr>
      <w:r>
        <w:rPr>
          <w:rFonts w:hint="eastAsia" w:hAnsi="宋体"/>
          <w:b/>
          <w:color w:val="auto"/>
          <w:sz w:val="32"/>
          <w:szCs w:val="32"/>
          <w:highlight w:val="none"/>
        </w:rPr>
        <w:br w:type="page"/>
      </w:r>
      <w:r>
        <w:rPr>
          <w:rFonts w:hint="eastAsia" w:ascii="宋体" w:hAnsi="宋体"/>
          <w:b/>
          <w:bCs/>
          <w:color w:val="auto"/>
          <w:sz w:val="32"/>
          <w:szCs w:val="32"/>
          <w:highlight w:val="none"/>
        </w:rPr>
        <w:t>附件六（一）</w:t>
      </w:r>
    </w:p>
    <w:p w14:paraId="4BE1DA68">
      <w:pPr>
        <w:spacing w:line="480" w:lineRule="auto"/>
        <w:jc w:val="center"/>
        <w:rPr>
          <w:rFonts w:ascii="宋体" w:hAnsi="宋体" w:cs="仿宋_GB2312"/>
          <w:color w:val="auto"/>
          <w:sz w:val="36"/>
          <w:szCs w:val="36"/>
          <w:highlight w:val="none"/>
        </w:rPr>
      </w:pPr>
      <w:r>
        <w:rPr>
          <w:rFonts w:hint="eastAsia" w:ascii="宋体" w:hAnsi="宋体" w:cs="仿宋_GB2312"/>
          <w:color w:val="auto"/>
          <w:sz w:val="36"/>
          <w:szCs w:val="36"/>
          <w:highlight w:val="none"/>
        </w:rPr>
        <w:t>法定代表人身份证明书</w:t>
      </w:r>
    </w:p>
    <w:p w14:paraId="2A696BAE">
      <w:pPr>
        <w:spacing w:line="480" w:lineRule="auto"/>
        <w:jc w:val="center"/>
        <w:rPr>
          <w:rFonts w:ascii="宋体" w:hAnsi="宋体" w:cs="宋体"/>
          <w:color w:val="auto"/>
          <w:sz w:val="30"/>
          <w:highlight w:val="none"/>
        </w:rPr>
      </w:pPr>
    </w:p>
    <w:p w14:paraId="63426F5F">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2903EE12">
      <w:pPr>
        <w:spacing w:line="360" w:lineRule="auto"/>
        <w:ind w:firstLine="612"/>
        <w:rPr>
          <w:rFonts w:ascii="宋体" w:hAnsi="宋体" w:cs="宋体"/>
          <w:color w:val="auto"/>
          <w:sz w:val="24"/>
          <w:highlight w:val="none"/>
        </w:rPr>
      </w:pPr>
    </w:p>
    <w:p w14:paraId="58CA9D7B">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46CED210">
      <w:pPr>
        <w:spacing w:line="360" w:lineRule="auto"/>
        <w:ind w:firstLine="610"/>
        <w:rPr>
          <w:rFonts w:ascii="宋体" w:hAnsi="宋体" w:cs="宋体"/>
          <w:color w:val="auto"/>
          <w:sz w:val="24"/>
          <w:highlight w:val="none"/>
        </w:rPr>
      </w:pPr>
    </w:p>
    <w:p w14:paraId="023199BD">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D3D08EA">
      <w:pPr>
        <w:spacing w:line="360" w:lineRule="auto"/>
        <w:ind w:firstLine="610"/>
        <w:rPr>
          <w:rFonts w:ascii="宋体" w:hAnsi="宋体" w:cs="宋体"/>
          <w:color w:val="auto"/>
          <w:sz w:val="24"/>
          <w:highlight w:val="none"/>
        </w:rPr>
      </w:pPr>
    </w:p>
    <w:p w14:paraId="648B6FC8">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50CC6D4">
      <w:pPr>
        <w:spacing w:line="360" w:lineRule="auto"/>
        <w:ind w:firstLine="610"/>
        <w:rPr>
          <w:rFonts w:ascii="宋体" w:hAnsi="宋体" w:cs="宋体"/>
          <w:color w:val="auto"/>
          <w:sz w:val="24"/>
          <w:highlight w:val="none"/>
        </w:rPr>
      </w:pPr>
    </w:p>
    <w:p w14:paraId="1D25658E">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18212EB1">
      <w:pPr>
        <w:spacing w:line="360" w:lineRule="auto"/>
        <w:ind w:firstLine="610"/>
        <w:rPr>
          <w:rFonts w:ascii="宋体" w:hAnsi="宋体" w:cs="宋体"/>
          <w:color w:val="auto"/>
          <w:sz w:val="24"/>
          <w:highlight w:val="none"/>
        </w:rPr>
      </w:pPr>
    </w:p>
    <w:p w14:paraId="62B96FCB">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00127AD4">
      <w:pPr>
        <w:spacing w:line="360" w:lineRule="auto"/>
        <w:ind w:firstLine="610"/>
        <w:rPr>
          <w:rFonts w:ascii="宋体" w:hAnsi="宋体" w:cs="宋体"/>
          <w:color w:val="auto"/>
          <w:sz w:val="24"/>
          <w:highlight w:val="none"/>
        </w:rPr>
      </w:pPr>
    </w:p>
    <w:p w14:paraId="3832EBD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（投标供应商单位名称）         </w:t>
      </w:r>
      <w:r>
        <w:rPr>
          <w:rFonts w:hint="eastAsia" w:ascii="宋体" w:hAnsi="宋体" w:cs="宋体"/>
          <w:color w:val="auto"/>
          <w:sz w:val="24"/>
          <w:highlight w:val="none"/>
        </w:rPr>
        <w:t>的法定代表人。</w:t>
      </w:r>
    </w:p>
    <w:p w14:paraId="7FBBE97B">
      <w:pPr>
        <w:spacing w:line="360" w:lineRule="auto"/>
        <w:rPr>
          <w:rFonts w:ascii="宋体" w:hAnsi="宋体" w:cs="宋体"/>
          <w:color w:val="auto"/>
          <w:sz w:val="24"/>
          <w:highlight w:val="none"/>
        </w:rPr>
      </w:pPr>
    </w:p>
    <w:tbl>
      <w:tblPr>
        <w:tblStyle w:val="3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804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36EA9CFF">
            <w:pPr>
              <w:snapToGrid w:val="0"/>
              <w:jc w:val="center"/>
              <w:rPr>
                <w:rFonts w:ascii="宋体"/>
                <w:color w:val="auto"/>
                <w:sz w:val="24"/>
                <w:highlight w:val="none"/>
              </w:rPr>
            </w:pPr>
          </w:p>
          <w:p w14:paraId="07B8267B">
            <w:pPr>
              <w:snapToGrid w:val="0"/>
              <w:rPr>
                <w:rFonts w:ascii="宋体"/>
                <w:color w:val="auto"/>
                <w:sz w:val="24"/>
                <w:highlight w:val="none"/>
              </w:rPr>
            </w:pPr>
          </w:p>
          <w:p w14:paraId="7623353E">
            <w:pPr>
              <w:snapToGrid w:val="0"/>
              <w:jc w:val="center"/>
              <w:rPr>
                <w:rFonts w:ascii="宋体"/>
                <w:color w:val="auto"/>
                <w:sz w:val="24"/>
                <w:highlight w:val="none"/>
              </w:rPr>
            </w:pPr>
          </w:p>
          <w:p w14:paraId="54EE5278">
            <w:pPr>
              <w:snapToGrid w:val="0"/>
              <w:ind w:firstLine="2520" w:firstLineChars="1050"/>
              <w:rPr>
                <w:rFonts w:ascii="宋体"/>
                <w:color w:val="auto"/>
                <w:sz w:val="24"/>
                <w:highlight w:val="none"/>
              </w:rPr>
            </w:pPr>
            <w:r>
              <w:rPr>
                <w:rFonts w:ascii="宋体"/>
                <w:color w:val="auto"/>
                <w:sz w:val="24"/>
                <w:highlight w:val="none"/>
              </w:rPr>
              <w:t>身份证</w:t>
            </w:r>
            <w:r>
              <w:rPr>
                <w:rFonts w:hint="eastAsia" w:ascii="宋体"/>
                <w:color w:val="auto"/>
                <w:sz w:val="24"/>
                <w:highlight w:val="none"/>
              </w:rPr>
              <w:t>扫描件</w:t>
            </w:r>
            <w:r>
              <w:rPr>
                <w:rFonts w:ascii="宋体"/>
                <w:color w:val="auto"/>
                <w:sz w:val="24"/>
                <w:highlight w:val="none"/>
              </w:rPr>
              <w:t>粘贴处</w:t>
            </w:r>
          </w:p>
          <w:p w14:paraId="2BCAAFFF">
            <w:pPr>
              <w:snapToGrid w:val="0"/>
              <w:rPr>
                <w:rFonts w:ascii="宋体"/>
                <w:color w:val="auto"/>
                <w:sz w:val="24"/>
                <w:highlight w:val="none"/>
              </w:rPr>
            </w:pPr>
          </w:p>
          <w:p w14:paraId="4B6CDC5F">
            <w:pPr>
              <w:tabs>
                <w:tab w:val="left" w:pos="720"/>
                <w:tab w:val="left" w:pos="900"/>
              </w:tabs>
              <w:spacing w:line="360" w:lineRule="auto"/>
              <w:rPr>
                <w:rFonts w:ascii="宋体" w:hAnsi="宋体" w:cs="宋体"/>
                <w:color w:val="auto"/>
                <w:sz w:val="24"/>
                <w:highlight w:val="none"/>
              </w:rPr>
            </w:pPr>
            <w:r>
              <w:rPr>
                <w:rFonts w:ascii="宋体"/>
                <w:color w:val="auto"/>
                <w:sz w:val="24"/>
                <w:highlight w:val="none"/>
              </w:rPr>
              <w:t xml:space="preserve">                                 </w:t>
            </w:r>
          </w:p>
          <w:p w14:paraId="075C414B">
            <w:pPr>
              <w:tabs>
                <w:tab w:val="left" w:pos="720"/>
                <w:tab w:val="left" w:pos="900"/>
              </w:tabs>
              <w:spacing w:line="360" w:lineRule="auto"/>
              <w:rPr>
                <w:rFonts w:ascii="宋体" w:hAnsi="宋体" w:cs="宋体"/>
                <w:color w:val="auto"/>
                <w:sz w:val="24"/>
                <w:highlight w:val="none"/>
              </w:rPr>
            </w:pPr>
            <w:r>
              <w:rPr>
                <w:rFonts w:ascii="宋体" w:hAnsi="宋体" w:cs="宋体"/>
                <w:color w:val="auto"/>
                <w:sz w:val="24"/>
                <w:highlight w:val="none"/>
              </w:rPr>
              <w:t xml:space="preserve">                                         </w:t>
            </w:r>
            <w:r>
              <w:rPr>
                <w:rFonts w:ascii="宋体"/>
                <w:color w:val="auto"/>
                <w:sz w:val="24"/>
                <w:highlight w:val="none"/>
              </w:rPr>
              <w:t>（二代身份证需双面复印）</w:t>
            </w:r>
          </w:p>
        </w:tc>
      </w:tr>
    </w:tbl>
    <w:p w14:paraId="0952B6AE">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67D53972">
      <w:pPr>
        <w:adjustRightInd w:val="0"/>
        <w:snapToGrid w:val="0"/>
        <w:spacing w:line="400" w:lineRule="exact"/>
        <w:rPr>
          <w:rFonts w:ascii="宋体" w:hAnsi="宋体" w:cs="Courier New"/>
          <w:b/>
          <w:color w:val="auto"/>
          <w:kern w:val="0"/>
          <w:sz w:val="22"/>
          <w:highlight w:val="none"/>
          <w:u w:val="single"/>
        </w:rPr>
      </w:pPr>
    </w:p>
    <w:p w14:paraId="67286D54">
      <w:pPr>
        <w:adjustRightInd w:val="0"/>
        <w:snapToGrid w:val="0"/>
        <w:spacing w:line="400" w:lineRule="exact"/>
        <w:rPr>
          <w:rFonts w:ascii="宋体" w:hAnsi="宋体" w:cs="Courier New"/>
          <w:b/>
          <w:color w:val="auto"/>
          <w:kern w:val="0"/>
          <w:sz w:val="22"/>
          <w:highlight w:val="none"/>
          <w:u w:val="single"/>
        </w:rPr>
      </w:pPr>
    </w:p>
    <w:p w14:paraId="4EACCE7F">
      <w:pPr>
        <w:adjustRightInd w:val="0"/>
        <w:snapToGrid w:val="0"/>
        <w:spacing w:line="400" w:lineRule="exact"/>
        <w:rPr>
          <w:rFonts w:ascii="宋体" w:hAnsi="宋体" w:cs="Courier New"/>
          <w:b/>
          <w:color w:val="auto"/>
          <w:kern w:val="0"/>
          <w:sz w:val="22"/>
          <w:highlight w:val="none"/>
          <w:u w:val="single"/>
        </w:rPr>
      </w:pPr>
    </w:p>
    <w:p w14:paraId="221F2763">
      <w:pPr>
        <w:adjustRightInd w:val="0"/>
        <w:snapToGrid w:val="0"/>
        <w:spacing w:line="400" w:lineRule="exact"/>
        <w:rPr>
          <w:rFonts w:ascii="宋体" w:hAnsi="宋体" w:cs="Courier New"/>
          <w:b/>
          <w:color w:val="auto"/>
          <w:kern w:val="0"/>
          <w:sz w:val="22"/>
          <w:highlight w:val="none"/>
          <w:u w:val="single"/>
        </w:rPr>
      </w:pPr>
    </w:p>
    <w:p w14:paraId="2479AAEE">
      <w:pPr>
        <w:autoSpaceDE w:val="0"/>
        <w:autoSpaceDN w:val="0"/>
        <w:adjustRightInd w:val="0"/>
        <w:spacing w:line="440" w:lineRule="atLeast"/>
        <w:rPr>
          <w:rFonts w:ascii="宋体" w:hAnsi="宋体" w:cs="Courier New"/>
          <w:b/>
          <w:color w:val="auto"/>
          <w:kern w:val="0"/>
          <w:sz w:val="22"/>
          <w:highlight w:val="none"/>
          <w:u w:val="single"/>
        </w:rPr>
      </w:pPr>
      <w:r>
        <w:rPr>
          <w:rFonts w:hint="eastAsia" w:ascii="宋体" w:hAnsi="宋体" w:cs="Courier New"/>
          <w:b/>
          <w:color w:val="auto"/>
          <w:kern w:val="0"/>
          <w:sz w:val="22"/>
          <w:highlight w:val="none"/>
          <w:u w:val="single"/>
        </w:rPr>
        <w:t xml:space="preserve"> ▲法定代表人参加投标，不提供此表格的将视为没有实质性响应招标文件。</w:t>
      </w:r>
    </w:p>
    <w:p w14:paraId="002C14BB">
      <w:pPr>
        <w:tabs>
          <w:tab w:val="left" w:pos="1080"/>
        </w:tabs>
        <w:autoSpaceDE w:val="0"/>
        <w:autoSpaceDN w:val="0"/>
        <w:adjustRightInd w:val="0"/>
        <w:spacing w:line="440" w:lineRule="atLeast"/>
        <w:jc w:val="left"/>
        <w:rPr>
          <w:rFonts w:ascii="宋体" w:hAnsi="宋体"/>
          <w:b/>
          <w:color w:val="auto"/>
          <w:sz w:val="32"/>
          <w:szCs w:val="32"/>
          <w:highlight w:val="none"/>
        </w:rPr>
      </w:pPr>
      <w:r>
        <w:rPr>
          <w:rFonts w:hint="eastAsia" w:ascii="宋体" w:hAnsi="宋体"/>
          <w:b/>
          <w:color w:val="auto"/>
          <w:sz w:val="32"/>
          <w:szCs w:val="32"/>
          <w:highlight w:val="none"/>
        </w:rPr>
        <w:t>附件六（二）</w:t>
      </w:r>
    </w:p>
    <w:p w14:paraId="43072088">
      <w:pPr>
        <w:tabs>
          <w:tab w:val="left" w:pos="1080"/>
        </w:tabs>
        <w:autoSpaceDE w:val="0"/>
        <w:autoSpaceDN w:val="0"/>
        <w:adjustRightInd w:val="0"/>
        <w:spacing w:line="440" w:lineRule="atLeast"/>
        <w:jc w:val="center"/>
        <w:rPr>
          <w:rFonts w:ascii="宋体"/>
          <w:color w:val="auto"/>
          <w:sz w:val="36"/>
          <w:szCs w:val="36"/>
          <w:highlight w:val="none"/>
        </w:rPr>
      </w:pPr>
      <w:r>
        <w:rPr>
          <w:rFonts w:hint="eastAsia" w:ascii="宋体"/>
          <w:color w:val="auto"/>
          <w:sz w:val="36"/>
          <w:szCs w:val="36"/>
          <w:highlight w:val="none"/>
        </w:rPr>
        <w:t>法定代表人授权书</w:t>
      </w:r>
    </w:p>
    <w:p w14:paraId="4FCB0337">
      <w:pPr>
        <w:spacing w:line="480" w:lineRule="auto"/>
        <w:rPr>
          <w:rFonts w:ascii="宋体" w:hAnsi="宋体"/>
          <w:color w:val="auto"/>
          <w:sz w:val="22"/>
          <w:highlight w:val="none"/>
        </w:rPr>
      </w:pPr>
      <w:r>
        <w:rPr>
          <w:rFonts w:hint="eastAsia" w:ascii="宋体" w:hAnsi="宋体"/>
          <w:color w:val="auto"/>
          <w:sz w:val="22"/>
          <w:highlight w:val="none"/>
          <w:u w:val="single"/>
        </w:rPr>
        <w:t>（采购单位名称）</w:t>
      </w:r>
      <w:r>
        <w:rPr>
          <w:rFonts w:hint="eastAsia" w:ascii="宋体" w:hAnsi="宋体"/>
          <w:color w:val="auto"/>
          <w:sz w:val="22"/>
          <w:highlight w:val="none"/>
          <w:lang w:val="zh-CN"/>
        </w:rPr>
        <w:t>：</w:t>
      </w:r>
    </w:p>
    <w:p w14:paraId="24961BB6">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本授权委托书声明：我</w:t>
      </w:r>
      <w:r>
        <w:rPr>
          <w:rFonts w:hint="eastAsia" w:ascii="宋体" w:hAnsi="宋体"/>
          <w:color w:val="auto"/>
          <w:sz w:val="22"/>
          <w:highlight w:val="none"/>
          <w:u w:val="single"/>
        </w:rPr>
        <w:t xml:space="preserve">   （法定代表人姓名）   </w:t>
      </w:r>
      <w:r>
        <w:rPr>
          <w:rFonts w:hint="eastAsia" w:ascii="宋体" w:hAnsi="宋体"/>
          <w:color w:val="auto"/>
          <w:sz w:val="22"/>
          <w:highlight w:val="none"/>
        </w:rPr>
        <w:t>系</w:t>
      </w:r>
      <w:r>
        <w:rPr>
          <w:rFonts w:hint="eastAsia" w:ascii="宋体" w:hAnsi="宋体"/>
          <w:color w:val="auto"/>
          <w:sz w:val="22"/>
          <w:highlight w:val="none"/>
          <w:u w:val="single"/>
        </w:rPr>
        <w:t xml:space="preserve">   （供 应 商 名 称）  </w:t>
      </w:r>
      <w:r>
        <w:rPr>
          <w:rFonts w:hint="eastAsia" w:ascii="宋体" w:hAnsi="宋体"/>
          <w:color w:val="auto"/>
          <w:sz w:val="22"/>
          <w:highlight w:val="none"/>
        </w:rPr>
        <w:t>的法定代表人，现授权委托</w:t>
      </w:r>
      <w:r>
        <w:rPr>
          <w:rFonts w:hint="eastAsia" w:ascii="宋体" w:hAnsi="宋体"/>
          <w:color w:val="auto"/>
          <w:sz w:val="22"/>
          <w:highlight w:val="none"/>
          <w:u w:val="single"/>
        </w:rPr>
        <w:t xml:space="preserve">  （单 位 名 称）   </w:t>
      </w:r>
      <w:r>
        <w:rPr>
          <w:rFonts w:hint="eastAsia" w:ascii="宋体" w:hAnsi="宋体"/>
          <w:color w:val="auto"/>
          <w:sz w:val="22"/>
          <w:highlight w:val="none"/>
        </w:rPr>
        <w:t>的</w:t>
      </w:r>
      <w:r>
        <w:rPr>
          <w:rFonts w:hint="eastAsia" w:ascii="宋体" w:hAnsi="宋体"/>
          <w:color w:val="auto"/>
          <w:sz w:val="22"/>
          <w:highlight w:val="none"/>
          <w:u w:val="single"/>
        </w:rPr>
        <w:t xml:space="preserve">  （授权代表姓名）  </w:t>
      </w:r>
      <w:r>
        <w:rPr>
          <w:rFonts w:hint="eastAsia" w:ascii="宋体" w:hAnsi="宋体"/>
          <w:color w:val="auto"/>
          <w:sz w:val="22"/>
          <w:highlight w:val="none"/>
        </w:rPr>
        <w:t>为我公司法定代表人授权代表，参加贵处组织的</w:t>
      </w:r>
      <w:r>
        <w:rPr>
          <w:rFonts w:hint="eastAsia" w:ascii="宋体" w:hAnsi="宋体"/>
          <w:color w:val="auto"/>
          <w:sz w:val="22"/>
          <w:highlight w:val="none"/>
          <w:u w:val="single"/>
        </w:rPr>
        <w:t xml:space="preserve">  （招标项目名称，括号中填写项目编号）  </w:t>
      </w:r>
      <w:r>
        <w:rPr>
          <w:rFonts w:hint="eastAsia" w:ascii="宋体" w:hAnsi="宋体"/>
          <w:color w:val="auto"/>
          <w:sz w:val="22"/>
          <w:highlight w:val="none"/>
        </w:rPr>
        <w:t>项目投标，全权处理本次招投标活动中的一切事宜，我承认授权代表全权代表我所签署的本项目的响应文件的内容。</w:t>
      </w:r>
    </w:p>
    <w:p w14:paraId="7D6F8B37">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授权代表无转授权，特此授权</w:t>
      </w:r>
    </w:p>
    <w:p w14:paraId="5589E799">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授权代表：</w:t>
      </w:r>
      <w:r>
        <w:rPr>
          <w:rFonts w:hint="eastAsia" w:ascii="宋体" w:hAnsi="宋体"/>
          <w:color w:val="auto"/>
          <w:sz w:val="22"/>
          <w:highlight w:val="none"/>
          <w:u w:val="single"/>
        </w:rPr>
        <w:t xml:space="preserve">   （手写签字）  </w:t>
      </w:r>
      <w:r>
        <w:rPr>
          <w:rFonts w:hint="eastAsia" w:ascii="宋体" w:hAnsi="宋体"/>
          <w:color w:val="auto"/>
          <w:sz w:val="22"/>
          <w:highlight w:val="none"/>
        </w:rPr>
        <w:t xml:space="preserve"> 性别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77AC88C0">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职务：</w:t>
      </w:r>
      <w:r>
        <w:rPr>
          <w:rFonts w:hint="eastAsia" w:ascii="宋体" w:hAnsi="宋体"/>
          <w:color w:val="auto"/>
          <w:sz w:val="22"/>
          <w:highlight w:val="none"/>
          <w:u w:val="single"/>
        </w:rPr>
        <w:t xml:space="preserve">                  </w:t>
      </w:r>
      <w:r>
        <w:rPr>
          <w:rFonts w:hint="eastAsia" w:ascii="宋体" w:hAnsi="宋体"/>
          <w:color w:val="auto"/>
          <w:sz w:val="22"/>
          <w:highlight w:val="none"/>
        </w:rPr>
        <w:t>年龄：</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3F7D3E80">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详细通讯地址：</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邮政编码：</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2E9B7C97">
      <w:pPr>
        <w:spacing w:line="480" w:lineRule="auto"/>
        <w:ind w:left="1" w:firstLine="2510" w:firstLineChars="1141"/>
        <w:rPr>
          <w:rFonts w:ascii="宋体" w:hAnsi="宋体"/>
          <w:color w:val="auto"/>
          <w:sz w:val="22"/>
          <w:highlight w:val="none"/>
          <w:u w:val="single"/>
        </w:rPr>
      </w:pPr>
      <w:r>
        <w:rPr>
          <w:rFonts w:hint="eastAsia" w:ascii="宋体" w:hAnsi="宋体"/>
          <w:color w:val="auto"/>
          <w:sz w:val="22"/>
          <w:highlight w:val="none"/>
        </w:rPr>
        <w:t>电话：</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传真：</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48BE8F23">
      <w:pPr>
        <w:spacing w:line="480" w:lineRule="auto"/>
        <w:ind w:left="1" w:firstLine="422" w:firstLineChars="192"/>
        <w:rPr>
          <w:rFonts w:ascii="宋体" w:hAnsi="宋体"/>
          <w:color w:val="auto"/>
          <w:sz w:val="22"/>
          <w:highlight w:val="none"/>
        </w:rPr>
      </w:pPr>
      <w:r>
        <w:rPr>
          <w:rFonts w:hint="eastAsia" w:ascii="宋体" w:hAnsi="宋体"/>
          <w:color w:val="auto"/>
          <w:sz w:val="22"/>
          <w:highlight w:val="none"/>
        </w:rPr>
        <w:t xml:space="preserve">                   供应商：</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（盖章）</w:t>
      </w:r>
    </w:p>
    <w:p w14:paraId="39D47B6D">
      <w:pPr>
        <w:spacing w:line="480" w:lineRule="auto"/>
        <w:ind w:left="2100" w:right="440"/>
        <w:jc w:val="right"/>
        <w:rPr>
          <w:rFonts w:ascii="宋体" w:hAnsi="宋体"/>
          <w:b/>
          <w:color w:val="auto"/>
          <w:sz w:val="22"/>
          <w:highlight w:val="none"/>
        </w:rPr>
      </w:pPr>
      <w:r>
        <w:rPr>
          <w:rFonts w:hint="eastAsia" w:ascii="宋体" w:hAnsi="宋体"/>
          <w:color w:val="auto"/>
          <w:sz w:val="22"/>
          <w:highlight w:val="none"/>
        </w:rPr>
        <w:t xml:space="preserve">   法定代表人：</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（签字或盖章</w:t>
      </w:r>
      <w:r>
        <w:rPr>
          <w:rFonts w:ascii="宋体" w:hAnsi="宋体"/>
          <w:color w:val="auto"/>
          <w:sz w:val="22"/>
          <w:highlight w:val="none"/>
          <w:u w:val="single"/>
        </w:rPr>
        <w:t>）</w:t>
      </w:r>
      <w:r>
        <w:rPr>
          <w:rFonts w:hint="eastAsia" w:ascii="宋体" w:hAnsi="宋体"/>
          <w:color w:val="auto"/>
          <w:sz w:val="22"/>
          <w:highlight w:val="none"/>
        </w:rPr>
        <w:t>授权委托日期：</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年 </w:t>
      </w:r>
      <w:r>
        <w:rPr>
          <w:rFonts w:hint="eastAsia" w:ascii="宋体" w:hAnsi="宋体"/>
          <w:color w:val="auto"/>
          <w:sz w:val="22"/>
          <w:highlight w:val="none"/>
          <w:u w:val="single"/>
        </w:rPr>
        <w:t xml:space="preserve">    </w:t>
      </w:r>
      <w:r>
        <w:rPr>
          <w:rFonts w:hint="eastAsia" w:ascii="宋体" w:hAnsi="宋体"/>
          <w:color w:val="auto"/>
          <w:sz w:val="22"/>
          <w:highlight w:val="none"/>
        </w:rPr>
        <w:t>月</w:t>
      </w:r>
      <w:r>
        <w:rPr>
          <w:rFonts w:hint="eastAsia" w:ascii="宋体" w:hAnsi="宋体"/>
          <w:color w:val="auto"/>
          <w:sz w:val="22"/>
          <w:highlight w:val="none"/>
          <w:u w:val="single"/>
        </w:rPr>
        <w:t xml:space="preserve">     </w:t>
      </w:r>
      <w:r>
        <w:rPr>
          <w:rFonts w:hint="eastAsia" w:ascii="宋体" w:hAnsi="宋体"/>
          <w:color w:val="auto"/>
          <w:sz w:val="22"/>
          <w:highlight w:val="none"/>
        </w:rPr>
        <w:t>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061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1FF013CF">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黏贴授权代表身份证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5956765B">
            <w:pPr>
              <w:autoSpaceDE w:val="0"/>
              <w:autoSpaceDN w:val="0"/>
              <w:adjustRightInd w:val="0"/>
              <w:spacing w:line="440" w:lineRule="atLeast"/>
              <w:jc w:val="center"/>
              <w:rPr>
                <w:rFonts w:ascii="宋体" w:hAnsi="宋体" w:cs="仿宋_GB2312"/>
                <w:bCs/>
                <w:color w:val="auto"/>
                <w:sz w:val="36"/>
                <w:szCs w:val="36"/>
                <w:highlight w:val="none"/>
              </w:rPr>
            </w:pPr>
          </w:p>
        </w:tc>
      </w:tr>
      <w:tr w14:paraId="333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1806291D">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黏贴法人身份证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088C4BDA">
            <w:pPr>
              <w:autoSpaceDE w:val="0"/>
              <w:autoSpaceDN w:val="0"/>
              <w:adjustRightInd w:val="0"/>
              <w:spacing w:line="440" w:lineRule="atLeast"/>
              <w:jc w:val="center"/>
              <w:rPr>
                <w:rFonts w:ascii="宋体" w:hAnsi="宋体" w:cs="仿宋_GB2312"/>
                <w:bCs/>
                <w:color w:val="auto"/>
                <w:sz w:val="36"/>
                <w:szCs w:val="36"/>
                <w:highlight w:val="none"/>
              </w:rPr>
            </w:pPr>
          </w:p>
        </w:tc>
      </w:tr>
    </w:tbl>
    <w:p w14:paraId="1AFBFF9A">
      <w:pPr>
        <w:autoSpaceDE w:val="0"/>
        <w:autoSpaceDN w:val="0"/>
        <w:adjustRightInd w:val="0"/>
        <w:spacing w:line="440" w:lineRule="atLeast"/>
        <w:jc w:val="center"/>
        <w:rPr>
          <w:rFonts w:ascii="宋体" w:hAnsi="宋体" w:cs="仿宋_GB2312"/>
          <w:color w:val="auto"/>
          <w:sz w:val="36"/>
          <w:szCs w:val="36"/>
          <w:highlight w:val="none"/>
        </w:rPr>
      </w:pPr>
    </w:p>
    <w:p w14:paraId="04FB6C7A">
      <w:pPr>
        <w:autoSpaceDE w:val="0"/>
        <w:autoSpaceDN w:val="0"/>
        <w:adjustRightInd w:val="0"/>
        <w:spacing w:line="440" w:lineRule="atLeast"/>
        <w:jc w:val="center"/>
        <w:rPr>
          <w:rFonts w:ascii="宋体" w:hAnsi="宋体" w:cs="仿宋_GB2312"/>
          <w:color w:val="auto"/>
          <w:sz w:val="36"/>
          <w:szCs w:val="36"/>
          <w:highlight w:val="none"/>
          <w:lang w:val="zh-CN"/>
        </w:rPr>
      </w:pPr>
    </w:p>
    <w:p w14:paraId="4CAEBCCA">
      <w:pPr>
        <w:adjustRightInd w:val="0"/>
        <w:snapToGrid w:val="0"/>
        <w:spacing w:line="400" w:lineRule="exact"/>
        <w:rPr>
          <w:rFonts w:ascii="宋体" w:hAnsi="Courier New" w:cs="Courier New"/>
          <w:b/>
          <w:bCs/>
          <w:color w:val="auto"/>
          <w:kern w:val="0"/>
          <w:sz w:val="22"/>
          <w:highlight w:val="none"/>
          <w:u w:val="single"/>
        </w:rPr>
      </w:pPr>
      <w:r>
        <w:rPr>
          <w:rFonts w:hint="eastAsia" w:ascii="宋体" w:hAnsi="宋体" w:cs="Courier New"/>
          <w:b/>
          <w:color w:val="auto"/>
          <w:kern w:val="0"/>
          <w:sz w:val="22"/>
          <w:highlight w:val="none"/>
          <w:u w:val="single"/>
        </w:rPr>
        <w:t>▲授权委托人参加投标，不提供此表格的将视为没有实质性响应招标文件。</w:t>
      </w:r>
    </w:p>
    <w:p w14:paraId="6E5E37F0">
      <w:pPr>
        <w:rPr>
          <w:rFonts w:hAnsi="宋体"/>
          <w:b/>
          <w:color w:val="auto"/>
          <w:sz w:val="32"/>
          <w:szCs w:val="32"/>
          <w:highlight w:val="none"/>
        </w:rPr>
      </w:pPr>
      <w:r>
        <w:rPr>
          <w:rFonts w:hint="eastAsia" w:hAnsi="宋体"/>
          <w:b/>
          <w:color w:val="auto"/>
          <w:sz w:val="32"/>
          <w:szCs w:val="32"/>
          <w:highlight w:val="none"/>
        </w:rPr>
        <w:t xml:space="preserve">附件七                </w:t>
      </w:r>
    </w:p>
    <w:p w14:paraId="5BB0C7D0">
      <w:pPr>
        <w:pStyle w:val="17"/>
        <w:adjustRightInd w:val="0"/>
        <w:snapToGrid w:val="0"/>
        <w:spacing w:line="340" w:lineRule="atLeast"/>
        <w:rPr>
          <w:rFonts w:hAnsi="宋体"/>
          <w:b/>
          <w:color w:val="auto"/>
          <w:sz w:val="32"/>
          <w:szCs w:val="32"/>
          <w:highlight w:val="none"/>
        </w:rPr>
      </w:pPr>
      <w:r>
        <w:rPr>
          <w:rFonts w:hint="eastAsia" w:hAnsi="宋体"/>
          <w:b/>
          <w:color w:val="auto"/>
          <w:sz w:val="32"/>
          <w:szCs w:val="32"/>
          <w:highlight w:val="none"/>
        </w:rPr>
        <w:t xml:space="preserve">        </w:t>
      </w:r>
    </w:p>
    <w:p w14:paraId="533D79CF">
      <w:pPr>
        <w:pStyle w:val="17"/>
        <w:adjustRightInd w:val="0"/>
        <w:snapToGrid w:val="0"/>
        <w:spacing w:line="460" w:lineRule="atLeast"/>
        <w:jc w:val="center"/>
        <w:rPr>
          <w:rFonts w:hAnsi="Times New Roman"/>
          <w:color w:val="auto"/>
          <w:sz w:val="36"/>
          <w:szCs w:val="36"/>
          <w:highlight w:val="none"/>
        </w:rPr>
      </w:pPr>
      <w:r>
        <w:rPr>
          <w:rFonts w:hint="eastAsia" w:hAnsi="Times New Roman"/>
          <w:color w:val="auto"/>
          <w:sz w:val="36"/>
          <w:szCs w:val="36"/>
          <w:highlight w:val="none"/>
        </w:rPr>
        <w:t>投  标  函</w:t>
      </w:r>
    </w:p>
    <w:p w14:paraId="5B4F3A33">
      <w:pPr>
        <w:pStyle w:val="17"/>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泰顺县自然资源和规划局</w:t>
      </w:r>
      <w:r>
        <w:rPr>
          <w:rFonts w:hint="eastAsia" w:hAnsi="宋体"/>
          <w:color w:val="auto"/>
          <w:sz w:val="22"/>
          <w:szCs w:val="22"/>
          <w:highlight w:val="none"/>
        </w:rPr>
        <w:t>：</w:t>
      </w:r>
    </w:p>
    <w:p w14:paraId="174A5878">
      <w:pPr>
        <w:autoSpaceDE w:val="0"/>
        <w:autoSpaceDN w:val="0"/>
        <w:adjustRightInd w:val="0"/>
        <w:spacing w:line="440" w:lineRule="atLeast"/>
        <w:rPr>
          <w:rFonts w:ascii="宋体" w:cs="仿宋_GB2312"/>
          <w:color w:val="auto"/>
          <w:sz w:val="22"/>
          <w:szCs w:val="22"/>
          <w:highlight w:val="none"/>
          <w:lang w:val="zh-CN"/>
        </w:rPr>
      </w:pPr>
      <w:r>
        <w:rPr>
          <w:rFonts w:hint="eastAsia" w:hAnsi="宋体"/>
          <w:color w:val="auto"/>
          <w:sz w:val="22"/>
          <w:szCs w:val="22"/>
          <w:highlight w:val="none"/>
        </w:rPr>
        <w:t xml:space="preserve"> </w:t>
      </w:r>
      <w:r>
        <w:rPr>
          <w:rFonts w:ascii="宋体" w:cs="仿宋_GB2312"/>
          <w:color w:val="auto"/>
          <w:sz w:val="22"/>
          <w:szCs w:val="22"/>
          <w:highlight w:val="none"/>
          <w:lang w:val="zh-CN"/>
        </w:rPr>
        <w:t xml:space="preserve">  </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（供应商全称）授权</w:t>
      </w:r>
      <w:r>
        <w:rPr>
          <w:rFonts w:ascii="宋体" w:cs="仿宋_GB2312"/>
          <w:color w:val="auto"/>
          <w:sz w:val="22"/>
          <w:szCs w:val="22"/>
          <w:highlight w:val="none"/>
          <w:u w:val="single"/>
          <w:lang w:val="zh-CN"/>
        </w:rPr>
        <w:t xml:space="preserve">              </w:t>
      </w:r>
      <w:r>
        <w:rPr>
          <w:rFonts w:ascii="宋体" w:cs="仿宋_GB2312"/>
          <w:color w:val="auto"/>
          <w:sz w:val="22"/>
          <w:szCs w:val="22"/>
          <w:highlight w:val="none"/>
          <w:lang w:val="zh-CN"/>
        </w:rPr>
        <w:t xml:space="preserve"> </w:t>
      </w:r>
      <w:r>
        <w:rPr>
          <w:rFonts w:hint="eastAsia" w:ascii="宋体" w:cs="仿宋_GB2312"/>
          <w:color w:val="auto"/>
          <w:sz w:val="22"/>
          <w:szCs w:val="22"/>
          <w:highlight w:val="none"/>
          <w:lang w:val="zh-CN"/>
        </w:rPr>
        <w:t>（授权代表名称）</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（职务、职称）为授权代表，参加贵方组织的</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（招标项目名称）（括号内填投标编号）招标的有关活动，为此：并对</w:t>
      </w:r>
      <w:r>
        <w:rPr>
          <w:rFonts w:hint="eastAsia"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项目（招标项目名称）进行投标。</w:t>
      </w:r>
      <w:r>
        <w:rPr>
          <w:rFonts w:ascii="宋体" w:cs="仿宋_GB2312"/>
          <w:color w:val="auto"/>
          <w:sz w:val="22"/>
          <w:szCs w:val="22"/>
          <w:highlight w:val="none"/>
          <w:lang w:val="zh-CN"/>
        </w:rPr>
        <w:t xml:space="preserve">   </w:t>
      </w:r>
    </w:p>
    <w:p w14:paraId="498F8F61">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“电子加密投标文件”：在线上传递交。</w:t>
      </w:r>
    </w:p>
    <w:p w14:paraId="33DBA68E">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2、保证遵守招标文件中的有关规定和收费标准。</w:t>
      </w:r>
    </w:p>
    <w:p w14:paraId="2418C83A">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、保证忠实地执行采购单位、</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44FE3A8C">
      <w:pPr>
        <w:pStyle w:val="17"/>
        <w:snapToGrid w:val="0"/>
        <w:spacing w:line="410" w:lineRule="atLeast"/>
        <w:ind w:firstLine="440" w:firstLineChars="200"/>
        <w:rPr>
          <w:rFonts w:hAnsi="宋体"/>
          <w:b/>
          <w:bCs/>
          <w:color w:val="auto"/>
          <w:sz w:val="22"/>
          <w:highlight w:val="none"/>
          <w:u w:val="singl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b/>
          <w:bCs/>
          <w:color w:val="auto"/>
          <w:sz w:val="22"/>
          <w:highlight w:val="none"/>
          <w:u w:val="single"/>
          <w:lang w:val="zh-CN"/>
        </w:rPr>
        <w:t>：</w:t>
      </w:r>
      <w:r>
        <w:rPr>
          <w:rFonts w:hint="eastAsia" w:hAnsi="宋体"/>
          <w:b/>
          <w:bCs/>
          <w:color w:val="auto"/>
          <w:sz w:val="22"/>
          <w:highlight w:val="none"/>
          <w:u w:val="single"/>
        </w:rPr>
        <w:t>▲按招标文件规定期限交货并通过采购单位验收，逾期采购单位有权拒绝供货。</w:t>
      </w:r>
    </w:p>
    <w:p w14:paraId="36AC04AB">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2758938D">
      <w:pPr>
        <w:spacing w:line="340" w:lineRule="exact"/>
        <w:ind w:firstLine="442"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、利益冲突：近三年内直至目前，我公司与本项目的采购单位、招标代理机构没有任何的隶属关系。</w:t>
      </w:r>
    </w:p>
    <w:p w14:paraId="298429F7">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414F681A">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2A45167E">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3524431F">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7C06E639">
      <w:pPr>
        <w:autoSpaceDE w:val="0"/>
        <w:autoSpaceDN w:val="0"/>
        <w:adjustRightInd w:val="0"/>
        <w:spacing w:line="440" w:lineRule="atLeast"/>
        <w:ind w:firstLine="585" w:firstLineChars="266"/>
        <w:rPr>
          <w:rFonts w:ascii="宋体" w:cs="仿宋_GB2312"/>
          <w:color w:val="auto"/>
          <w:sz w:val="22"/>
          <w:szCs w:val="22"/>
          <w:highlight w:val="none"/>
          <w:u w:val="single"/>
          <w:lang w:val="zh-CN"/>
        </w:rPr>
      </w:pPr>
      <w:r>
        <w:rPr>
          <w:rFonts w:hint="eastAsia" w:ascii="宋体" w:cs="仿宋_GB2312"/>
          <w:color w:val="auto"/>
          <w:sz w:val="22"/>
          <w:szCs w:val="22"/>
          <w:highlight w:val="none"/>
          <w:lang w:val="zh-CN"/>
        </w:rPr>
        <w:t>地址：</w:t>
      </w:r>
      <w:r>
        <w:rPr>
          <w:rFonts w:ascii="宋体" w:cs="仿宋_GB2312"/>
          <w:color w:val="auto"/>
          <w:sz w:val="22"/>
          <w:szCs w:val="22"/>
          <w:highlight w:val="none"/>
          <w:u w:val="single"/>
          <w:lang w:val="zh-CN"/>
        </w:rPr>
        <w:t xml:space="preserve">                                 </w:t>
      </w:r>
    </w:p>
    <w:p w14:paraId="49FC2A1D">
      <w:pPr>
        <w:autoSpaceDE w:val="0"/>
        <w:autoSpaceDN w:val="0"/>
        <w:adjustRightInd w:val="0"/>
        <w:spacing w:line="440" w:lineRule="atLeast"/>
        <w:ind w:firstLine="585" w:firstLineChars="266"/>
        <w:rPr>
          <w:rFonts w:ascii="宋体" w:cs="仿宋_GB2312"/>
          <w:color w:val="auto"/>
          <w:sz w:val="22"/>
          <w:szCs w:val="22"/>
          <w:highlight w:val="none"/>
          <w:lang w:val="zh-CN"/>
        </w:rPr>
      </w:pPr>
      <w:r>
        <w:rPr>
          <w:rFonts w:hint="eastAsia" w:ascii="宋体" w:cs="仿宋_GB2312"/>
          <w:color w:val="auto"/>
          <w:sz w:val="22"/>
          <w:szCs w:val="22"/>
          <w:highlight w:val="none"/>
          <w:lang w:val="zh-CN"/>
        </w:rPr>
        <w:t>邮编：</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电话：</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传真：</w:t>
      </w:r>
      <w:r>
        <w:rPr>
          <w:rFonts w:ascii="宋体" w:cs="仿宋_GB2312"/>
          <w:color w:val="auto"/>
          <w:sz w:val="22"/>
          <w:szCs w:val="22"/>
          <w:highlight w:val="none"/>
          <w:u w:val="single"/>
          <w:lang w:val="zh-CN"/>
        </w:rPr>
        <w:t xml:space="preserve">                 </w:t>
      </w:r>
    </w:p>
    <w:p w14:paraId="3607847A">
      <w:pPr>
        <w:autoSpaceDE w:val="0"/>
        <w:autoSpaceDN w:val="0"/>
        <w:adjustRightInd w:val="0"/>
        <w:spacing w:line="440" w:lineRule="atLeast"/>
        <w:rPr>
          <w:rFonts w:ascii="宋体" w:cs="仿宋_GB2312"/>
          <w:color w:val="auto"/>
          <w:sz w:val="22"/>
          <w:szCs w:val="22"/>
          <w:highlight w:val="none"/>
          <w:lang w:val="zh-CN"/>
        </w:rPr>
      </w:pPr>
    </w:p>
    <w:p w14:paraId="193F2453">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供应商全称（盖章）：</w:t>
      </w:r>
    </w:p>
    <w:p w14:paraId="3B791663">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法定代表人（签字或盖章）：</w:t>
      </w:r>
    </w:p>
    <w:p w14:paraId="3EB3A19A">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日期：</w:t>
      </w:r>
    </w:p>
    <w:p w14:paraId="1E28FBEF">
      <w:pPr>
        <w:autoSpaceDE w:val="0"/>
        <w:autoSpaceDN w:val="0"/>
        <w:adjustRightInd w:val="0"/>
        <w:spacing w:line="440" w:lineRule="atLeast"/>
        <w:ind w:firstLine="627" w:firstLineChars="285"/>
        <w:rPr>
          <w:rFonts w:ascii="宋体" w:cs="仿宋_GB2312"/>
          <w:color w:val="auto"/>
          <w:sz w:val="22"/>
          <w:szCs w:val="22"/>
          <w:highlight w:val="none"/>
          <w:lang w:val="zh-CN"/>
        </w:rPr>
      </w:pPr>
    </w:p>
    <w:p w14:paraId="2FC97B3D">
      <w:pPr>
        <w:spacing w:line="360" w:lineRule="auto"/>
        <w:ind w:firstLine="442" w:firstLineChars="200"/>
        <w:rPr>
          <w:rFonts w:ascii="宋体" w:hAnsi="宋体"/>
          <w:color w:val="auto"/>
          <w:szCs w:val="21"/>
          <w:highlight w:val="none"/>
        </w:rPr>
      </w:pPr>
      <w:r>
        <w:rPr>
          <w:rFonts w:hint="eastAsia" w:ascii="宋体" w:hAnsi="宋体" w:eastAsia="宋体" w:cs="宋体"/>
          <w:b/>
          <w:bCs/>
          <w:color w:val="auto"/>
          <w:kern w:val="0"/>
          <w:sz w:val="22"/>
          <w:szCs w:val="22"/>
          <w:highlight w:val="none"/>
          <w:u w:val="single"/>
        </w:rPr>
        <w:t>▲备注：不提供本函做无效投标处理。</w:t>
      </w:r>
    </w:p>
    <w:p w14:paraId="488C6056">
      <w:pPr>
        <w:pStyle w:val="17"/>
        <w:adjustRightInd w:val="0"/>
        <w:snapToGrid w:val="0"/>
        <w:spacing w:line="400" w:lineRule="exact"/>
        <w:rPr>
          <w:rFonts w:hAnsi="宋体"/>
          <w:color w:val="auto"/>
          <w:sz w:val="32"/>
          <w:szCs w:val="32"/>
          <w:highlight w:val="none"/>
        </w:rPr>
      </w:pPr>
      <w:r>
        <w:rPr>
          <w:rFonts w:hint="eastAsia" w:hAnsi="宋体"/>
          <w:b/>
          <w:color w:val="auto"/>
          <w:sz w:val="32"/>
          <w:szCs w:val="32"/>
          <w:highlight w:val="none"/>
        </w:rPr>
        <w:br w:type="page"/>
      </w:r>
      <w:r>
        <w:rPr>
          <w:rFonts w:hint="eastAsia" w:hAnsi="宋体"/>
          <w:b/>
          <w:color w:val="auto"/>
          <w:sz w:val="32"/>
          <w:szCs w:val="32"/>
          <w:highlight w:val="none"/>
        </w:rPr>
        <w:t>附件八</w:t>
      </w:r>
      <w:r>
        <w:rPr>
          <w:rFonts w:hint="eastAsia" w:hAnsi="宋体"/>
          <w:color w:val="auto"/>
          <w:sz w:val="32"/>
          <w:szCs w:val="32"/>
          <w:highlight w:val="none"/>
        </w:rPr>
        <w:t xml:space="preserve"> </w:t>
      </w:r>
    </w:p>
    <w:p w14:paraId="31035D73">
      <w:pPr>
        <w:pStyle w:val="17"/>
        <w:adjustRightInd w:val="0"/>
        <w:snapToGrid w:val="0"/>
        <w:spacing w:line="360" w:lineRule="exact"/>
        <w:jc w:val="center"/>
        <w:rPr>
          <w:rFonts w:hAnsi="Times New Roman"/>
          <w:color w:val="auto"/>
          <w:sz w:val="36"/>
          <w:szCs w:val="36"/>
          <w:highlight w:val="none"/>
        </w:rPr>
      </w:pPr>
      <w:r>
        <w:rPr>
          <w:rFonts w:hint="eastAsia" w:hAnsi="Times New Roman"/>
          <w:color w:val="auto"/>
          <w:sz w:val="36"/>
          <w:szCs w:val="36"/>
          <w:highlight w:val="none"/>
        </w:rPr>
        <w:t>供应商参与政府采购活动投标资格声明函</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478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90E456B">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项目名称</w:t>
            </w:r>
          </w:p>
        </w:tc>
        <w:tc>
          <w:tcPr>
            <w:tcW w:w="8019" w:type="dxa"/>
          </w:tcPr>
          <w:p w14:paraId="0D7ADD53">
            <w:pPr>
              <w:pStyle w:val="17"/>
              <w:adjustRightInd w:val="0"/>
              <w:snapToGrid w:val="0"/>
              <w:spacing w:line="400" w:lineRule="exact"/>
              <w:rPr>
                <w:rFonts w:hAnsi="宋体"/>
                <w:bCs/>
                <w:color w:val="auto"/>
                <w:sz w:val="22"/>
                <w:szCs w:val="22"/>
                <w:highlight w:val="none"/>
              </w:rPr>
            </w:pPr>
          </w:p>
        </w:tc>
      </w:tr>
      <w:tr w14:paraId="664C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463826F">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项目采购编号</w:t>
            </w:r>
          </w:p>
        </w:tc>
        <w:tc>
          <w:tcPr>
            <w:tcW w:w="8019" w:type="dxa"/>
          </w:tcPr>
          <w:p w14:paraId="3561C9BE">
            <w:pPr>
              <w:pStyle w:val="17"/>
              <w:adjustRightInd w:val="0"/>
              <w:snapToGrid w:val="0"/>
              <w:spacing w:line="400" w:lineRule="exact"/>
              <w:rPr>
                <w:rFonts w:hAnsi="宋体"/>
                <w:bCs/>
                <w:color w:val="auto"/>
                <w:sz w:val="22"/>
                <w:szCs w:val="22"/>
                <w:highlight w:val="none"/>
              </w:rPr>
            </w:pPr>
          </w:p>
        </w:tc>
      </w:tr>
      <w:tr w14:paraId="0F7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9FBEDC4">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时    间</w:t>
            </w:r>
          </w:p>
        </w:tc>
        <w:tc>
          <w:tcPr>
            <w:tcW w:w="8019" w:type="dxa"/>
          </w:tcPr>
          <w:p w14:paraId="5A7AE6B8">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投标截止时间：</w:t>
            </w:r>
          </w:p>
        </w:tc>
      </w:tr>
      <w:tr w14:paraId="006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4CEFA2B0">
            <w:pPr>
              <w:pStyle w:val="17"/>
              <w:ind w:firstLine="440" w:firstLineChars="200"/>
              <w:rPr>
                <w:rFonts w:hAnsi="宋体"/>
                <w:color w:val="auto"/>
                <w:sz w:val="22"/>
                <w:szCs w:val="22"/>
                <w:highlight w:val="none"/>
              </w:rPr>
            </w:pPr>
            <w:r>
              <w:rPr>
                <w:rFonts w:hAnsi="宋体"/>
                <w:color w:val="auto"/>
                <w:sz w:val="22"/>
                <w:szCs w:val="22"/>
                <w:highlight w:val="none"/>
              </w:rPr>
              <w:t>1、根据政府采购法第二十二条规定，我单位满足以下条件，并已经在技术资信部分响应文件中提供了相应的证明材料：</w:t>
            </w:r>
          </w:p>
          <w:p w14:paraId="5F8FC337">
            <w:pPr>
              <w:pStyle w:val="17"/>
              <w:ind w:firstLine="440" w:firstLineChars="200"/>
              <w:rPr>
                <w:rFonts w:hAnsi="宋体"/>
                <w:color w:val="auto"/>
                <w:sz w:val="22"/>
                <w:szCs w:val="22"/>
                <w:highlight w:val="none"/>
              </w:rPr>
            </w:pPr>
            <w:r>
              <w:rPr>
                <w:rFonts w:hAnsi="宋体"/>
                <w:color w:val="auto"/>
                <w:sz w:val="22"/>
                <w:szCs w:val="22"/>
                <w:highlight w:val="none"/>
              </w:rPr>
              <w:t xml:space="preserve">（一）具有独立承担民事责任的能力； </w:t>
            </w:r>
          </w:p>
          <w:p w14:paraId="0511CD7E">
            <w:pPr>
              <w:pStyle w:val="17"/>
              <w:ind w:firstLine="440" w:firstLineChars="200"/>
              <w:rPr>
                <w:rFonts w:hAnsi="宋体"/>
                <w:color w:val="auto"/>
                <w:sz w:val="22"/>
                <w:szCs w:val="22"/>
                <w:highlight w:val="none"/>
              </w:rPr>
            </w:pPr>
            <w:r>
              <w:rPr>
                <w:rFonts w:hAnsi="宋体"/>
                <w:color w:val="auto"/>
                <w:sz w:val="22"/>
                <w:szCs w:val="22"/>
                <w:highlight w:val="none"/>
              </w:rPr>
              <w:t xml:space="preserve">　　（二）具有良好的商业信誉和健全的财务会计制度； </w:t>
            </w:r>
          </w:p>
          <w:p w14:paraId="1BB353FE">
            <w:pPr>
              <w:pStyle w:val="17"/>
              <w:ind w:firstLine="440" w:firstLineChars="200"/>
              <w:rPr>
                <w:rFonts w:hAnsi="宋体"/>
                <w:color w:val="auto"/>
                <w:sz w:val="22"/>
                <w:szCs w:val="22"/>
                <w:highlight w:val="none"/>
              </w:rPr>
            </w:pPr>
            <w:r>
              <w:rPr>
                <w:rFonts w:hAnsi="宋体"/>
                <w:color w:val="auto"/>
                <w:sz w:val="22"/>
                <w:szCs w:val="22"/>
                <w:highlight w:val="none"/>
              </w:rPr>
              <w:t xml:space="preserve">　　（三）具有履行合同所必需的设备和专业技术能力； </w:t>
            </w:r>
          </w:p>
          <w:p w14:paraId="58504096">
            <w:pPr>
              <w:pStyle w:val="17"/>
              <w:ind w:firstLine="440" w:firstLineChars="200"/>
              <w:rPr>
                <w:rFonts w:hAnsi="宋体"/>
                <w:color w:val="auto"/>
                <w:sz w:val="22"/>
                <w:szCs w:val="22"/>
                <w:highlight w:val="none"/>
              </w:rPr>
            </w:pPr>
            <w:r>
              <w:rPr>
                <w:rFonts w:hAnsi="宋体"/>
                <w:color w:val="auto"/>
                <w:sz w:val="22"/>
                <w:szCs w:val="22"/>
                <w:highlight w:val="none"/>
              </w:rPr>
              <w:t xml:space="preserve">　　（四）有依法缴纳税收和社会保障资金的良好记录； </w:t>
            </w:r>
          </w:p>
          <w:p w14:paraId="51D4EA23">
            <w:pPr>
              <w:pStyle w:val="17"/>
              <w:ind w:firstLine="440" w:firstLineChars="200"/>
              <w:rPr>
                <w:rFonts w:hAnsi="宋体"/>
                <w:color w:val="auto"/>
                <w:sz w:val="22"/>
                <w:szCs w:val="22"/>
                <w:highlight w:val="none"/>
              </w:rPr>
            </w:pPr>
            <w:r>
              <w:rPr>
                <w:rFonts w:hAnsi="宋体"/>
                <w:color w:val="auto"/>
                <w:sz w:val="22"/>
                <w:szCs w:val="22"/>
                <w:highlight w:val="none"/>
              </w:rPr>
              <w:t xml:space="preserve">　　（五）参加政府采购活动前三年内，在经营活动中没有重大违法记录； </w:t>
            </w:r>
          </w:p>
          <w:p w14:paraId="3C099802">
            <w:pPr>
              <w:pStyle w:val="17"/>
              <w:ind w:firstLine="440" w:firstLineChars="200"/>
              <w:rPr>
                <w:rFonts w:hAnsi="宋体"/>
                <w:color w:val="auto"/>
                <w:sz w:val="22"/>
                <w:szCs w:val="22"/>
                <w:highlight w:val="none"/>
              </w:rPr>
            </w:pPr>
            <w:r>
              <w:rPr>
                <w:rFonts w:hAnsi="宋体"/>
                <w:color w:val="auto"/>
                <w:sz w:val="22"/>
                <w:szCs w:val="22"/>
                <w:highlight w:val="none"/>
              </w:rPr>
              <w:t xml:space="preserve">　　（六）法律、行政法规规定的其他条件。 </w:t>
            </w:r>
          </w:p>
          <w:p w14:paraId="4A3984C1">
            <w:pPr>
              <w:pStyle w:val="17"/>
              <w:ind w:firstLine="440" w:firstLineChars="200"/>
              <w:rPr>
                <w:rFonts w:hAnsi="宋体"/>
                <w:color w:val="auto"/>
                <w:sz w:val="22"/>
                <w:szCs w:val="22"/>
                <w:highlight w:val="none"/>
              </w:rPr>
            </w:pPr>
            <w:r>
              <w:rPr>
                <w:rFonts w:hAnsi="宋体"/>
                <w:color w:val="auto"/>
                <w:sz w:val="22"/>
                <w:szCs w:val="22"/>
                <w:highlight w:val="none"/>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 “中国政府采购网”查询网页截图（公告发布之日至投标截止时间）。</w:t>
            </w:r>
          </w:p>
          <w:p w14:paraId="2FAB97FC">
            <w:pPr>
              <w:pStyle w:val="17"/>
              <w:ind w:firstLine="440" w:firstLineChars="200"/>
              <w:rPr>
                <w:rFonts w:hAnsi="宋体"/>
                <w:color w:val="auto"/>
                <w:sz w:val="22"/>
                <w:szCs w:val="22"/>
                <w:highlight w:val="none"/>
              </w:rPr>
            </w:pPr>
            <w:r>
              <w:rPr>
                <w:rFonts w:hAnsi="宋体"/>
                <w:color w:val="auto"/>
                <w:sz w:val="22"/>
                <w:szCs w:val="22"/>
                <w:highlight w:val="none"/>
              </w:rPr>
              <w:t>3、我单位没有被各地、各级财政部门限制参加政府采购活动，且在限制期内：</w:t>
            </w:r>
          </w:p>
          <w:p w14:paraId="40B202AF">
            <w:pPr>
              <w:pStyle w:val="17"/>
              <w:snapToGrid w:val="0"/>
              <w:spacing w:line="400" w:lineRule="exact"/>
              <w:ind w:firstLine="440" w:firstLineChars="200"/>
              <w:rPr>
                <w:rFonts w:hAnsi="宋体"/>
                <w:color w:val="auto"/>
                <w:sz w:val="22"/>
                <w:szCs w:val="22"/>
                <w:highlight w:val="none"/>
                <w:u w:val="single"/>
              </w:rPr>
            </w:pPr>
            <w:r>
              <w:rPr>
                <w:rFonts w:hAnsi="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Ansi="宋体"/>
                <w:color w:val="auto"/>
                <w:sz w:val="22"/>
                <w:szCs w:val="22"/>
                <w:highlight w:val="none"/>
                <w:u w:val="single"/>
              </w:rPr>
              <w:t xml:space="preserve">                                                                                  </w:t>
            </w:r>
          </w:p>
          <w:p w14:paraId="6FACF0DB">
            <w:pPr>
              <w:pStyle w:val="17"/>
              <w:snapToGrid w:val="0"/>
              <w:spacing w:line="400" w:lineRule="exact"/>
              <w:ind w:firstLine="440" w:firstLineChars="200"/>
              <w:rPr>
                <w:rFonts w:hAnsi="宋体"/>
                <w:color w:val="auto"/>
                <w:sz w:val="22"/>
                <w:szCs w:val="22"/>
                <w:highlight w:val="none"/>
              </w:rPr>
            </w:pPr>
            <w:r>
              <w:rPr>
                <w:rFonts w:hAnsi="宋体"/>
                <w:color w:val="auto"/>
                <w:sz w:val="22"/>
                <w:szCs w:val="22"/>
                <w:highlight w:val="none"/>
                <w:u w:val="single"/>
              </w:rPr>
              <w:t>5、我单位符合本项目特定资格条件：                         的要求，并在</w:t>
            </w:r>
            <w:r>
              <w:rPr>
                <w:rFonts w:hAnsi="宋体"/>
                <w:color w:val="auto"/>
                <w:sz w:val="22"/>
                <w:szCs w:val="22"/>
                <w:highlight w:val="none"/>
              </w:rPr>
              <w:t>技术资信部分响应文件中提供了相应的证明材料</w:t>
            </w:r>
            <w:r>
              <w:rPr>
                <w:rFonts w:hAnsi="宋体"/>
                <w:color w:val="auto"/>
                <w:sz w:val="22"/>
                <w:szCs w:val="22"/>
                <w:highlight w:val="none"/>
                <w:u w:val="single"/>
              </w:rPr>
              <w:t>（招标文件文件没有要求特定资格条件的，本条款空格处可以空白）</w:t>
            </w:r>
          </w:p>
          <w:p w14:paraId="6BBA6ED5">
            <w:pPr>
              <w:tabs>
                <w:tab w:val="center" w:pos="4483"/>
              </w:tabs>
              <w:adjustRightInd w:val="0"/>
              <w:spacing w:line="360" w:lineRule="auto"/>
              <w:ind w:firstLine="440" w:firstLineChars="200"/>
              <w:rPr>
                <w:rFonts w:ascii="宋体"/>
                <w:bCs/>
                <w:color w:val="auto"/>
                <w:sz w:val="22"/>
                <w:highlight w:val="none"/>
              </w:rPr>
            </w:pPr>
            <w:r>
              <w:rPr>
                <w:rFonts w:ascii="宋体" w:hAnsi="宋体" w:cs="宋体"/>
                <w:bCs/>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F8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A197EF2">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供应商名称（加盖公章）：</w:t>
            </w:r>
          </w:p>
        </w:tc>
      </w:tr>
      <w:tr w14:paraId="55E2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2176C3BD">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法定代表人（签字或盖章）或</w:t>
            </w:r>
            <w:r>
              <w:rPr>
                <w:rFonts w:hAnsi="宋体"/>
                <w:bCs/>
                <w:color w:val="auto"/>
                <w:sz w:val="22"/>
                <w:szCs w:val="22"/>
                <w:highlight w:val="none"/>
                <w:lang w:val="zh-CN"/>
              </w:rPr>
              <w:t>授权代表（</w:t>
            </w:r>
            <w:r>
              <w:rPr>
                <w:rFonts w:hAnsi="宋体"/>
                <w:bCs/>
                <w:color w:val="auto"/>
                <w:sz w:val="22"/>
                <w:szCs w:val="22"/>
                <w:highlight w:val="none"/>
              </w:rPr>
              <w:t>签字或盖章</w:t>
            </w:r>
            <w:r>
              <w:rPr>
                <w:rFonts w:hAnsi="宋体"/>
                <w:bCs/>
                <w:color w:val="auto"/>
                <w:sz w:val="22"/>
                <w:szCs w:val="22"/>
                <w:highlight w:val="none"/>
                <w:lang w:val="zh-CN"/>
              </w:rPr>
              <w:t>）</w:t>
            </w:r>
            <w:r>
              <w:rPr>
                <w:rFonts w:hAnsi="宋体"/>
                <w:bCs/>
                <w:color w:val="auto"/>
                <w:sz w:val="22"/>
                <w:szCs w:val="22"/>
                <w:highlight w:val="none"/>
              </w:rPr>
              <w:t>：</w:t>
            </w:r>
          </w:p>
        </w:tc>
      </w:tr>
      <w:tr w14:paraId="1E6A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B3C5ACA">
            <w:pPr>
              <w:pStyle w:val="17"/>
              <w:adjustRightInd w:val="0"/>
              <w:snapToGrid w:val="0"/>
              <w:spacing w:line="400" w:lineRule="exact"/>
              <w:rPr>
                <w:rFonts w:hAnsi="宋体"/>
                <w:bCs/>
                <w:color w:val="auto"/>
                <w:sz w:val="22"/>
                <w:szCs w:val="22"/>
                <w:highlight w:val="none"/>
              </w:rPr>
            </w:pPr>
            <w:r>
              <w:rPr>
                <w:rFonts w:hAnsi="宋体"/>
                <w:bCs/>
                <w:color w:val="auto"/>
                <w:sz w:val="22"/>
                <w:szCs w:val="22"/>
                <w:highlight w:val="none"/>
              </w:rPr>
              <w:t>签署日期：</w:t>
            </w:r>
          </w:p>
        </w:tc>
      </w:tr>
    </w:tbl>
    <w:p w14:paraId="109DEDDA">
      <w:pPr>
        <w:autoSpaceDE w:val="0"/>
        <w:autoSpaceDN w:val="0"/>
        <w:adjustRightInd w:val="0"/>
        <w:spacing w:line="440" w:lineRule="atLeast"/>
        <w:rPr>
          <w:rFonts w:hAnsi="宋体"/>
          <w:color w:val="auto"/>
          <w:sz w:val="22"/>
          <w:highlight w:val="none"/>
          <w:u w:val="single"/>
        </w:rPr>
      </w:pPr>
      <w:r>
        <w:rPr>
          <w:rFonts w:hint="eastAsia" w:hAnsi="宋体"/>
          <w:b/>
          <w:color w:val="auto"/>
          <w:sz w:val="22"/>
          <w:highlight w:val="none"/>
          <w:u w:val="single"/>
        </w:rPr>
        <w:t>备注：▲投标供应商必须按要求提供本声明，不提供按无效标处理</w:t>
      </w:r>
      <w:r>
        <w:rPr>
          <w:rFonts w:hint="eastAsia" w:hAnsi="宋体"/>
          <w:color w:val="auto"/>
          <w:sz w:val="22"/>
          <w:highlight w:val="none"/>
          <w:u w:val="single"/>
        </w:rPr>
        <w:t>。</w:t>
      </w:r>
    </w:p>
    <w:p w14:paraId="1EA77B70">
      <w:pPr>
        <w:autoSpaceDE w:val="0"/>
        <w:autoSpaceDN w:val="0"/>
        <w:adjustRightInd w:val="0"/>
        <w:spacing w:line="440" w:lineRule="atLeast"/>
        <w:rPr>
          <w:rFonts w:hAnsi="宋体"/>
          <w:color w:val="auto"/>
          <w:sz w:val="22"/>
          <w:highlight w:val="none"/>
          <w:u w:val="single"/>
        </w:rPr>
      </w:pPr>
    </w:p>
    <w:p w14:paraId="19A456B4">
      <w:pPr>
        <w:autoSpaceDE w:val="0"/>
        <w:autoSpaceDN w:val="0"/>
        <w:adjustRightInd w:val="0"/>
        <w:spacing w:line="440" w:lineRule="atLeast"/>
        <w:rPr>
          <w:rFonts w:hAnsi="宋体"/>
          <w:color w:val="auto"/>
          <w:sz w:val="22"/>
          <w:highlight w:val="none"/>
          <w:u w:val="single"/>
        </w:rPr>
      </w:pPr>
    </w:p>
    <w:p w14:paraId="1A0A2086">
      <w:pPr>
        <w:spacing w:line="360" w:lineRule="auto"/>
        <w:rPr>
          <w:rFonts w:ascii="宋体" w:hAnsi="宋体"/>
          <w:b/>
          <w:color w:val="auto"/>
          <w:sz w:val="32"/>
          <w:szCs w:val="32"/>
          <w:highlight w:val="none"/>
        </w:rPr>
      </w:pPr>
    </w:p>
    <w:p w14:paraId="2D942AE8">
      <w:pPr>
        <w:spacing w:line="440" w:lineRule="exact"/>
        <w:jc w:val="left"/>
        <w:rPr>
          <w:color w:val="auto"/>
          <w:highlight w:val="none"/>
        </w:rPr>
      </w:pPr>
      <w:r>
        <w:rPr>
          <w:rFonts w:hint="eastAsia" w:ascii="宋体" w:hAnsi="宋体"/>
          <w:b/>
          <w:color w:val="auto"/>
          <w:sz w:val="32"/>
          <w:szCs w:val="32"/>
          <w:highlight w:val="none"/>
        </w:rPr>
        <w:t>附件九</w:t>
      </w:r>
    </w:p>
    <w:p w14:paraId="48AC3C17">
      <w:pPr>
        <w:pStyle w:val="17"/>
        <w:spacing w:line="460" w:lineRule="atLeast"/>
        <w:ind w:firstLine="773" w:firstLineChars="350"/>
        <w:rPr>
          <w:rFonts w:hAnsi="宋体"/>
          <w:b/>
          <w:bCs/>
          <w:color w:val="auto"/>
          <w:sz w:val="22"/>
          <w:szCs w:val="22"/>
          <w:highlight w:val="none"/>
          <w:u w:val="single"/>
        </w:rPr>
      </w:pPr>
    </w:p>
    <w:p w14:paraId="6AA51749">
      <w:pPr>
        <w:spacing w:line="360" w:lineRule="auto"/>
        <w:jc w:val="center"/>
        <w:rPr>
          <w:rFonts w:ascii="宋体"/>
          <w:color w:val="auto"/>
          <w:sz w:val="36"/>
          <w:szCs w:val="36"/>
          <w:highlight w:val="none"/>
        </w:rPr>
      </w:pPr>
      <w:r>
        <w:rPr>
          <w:rFonts w:hint="eastAsia" w:ascii="宋体"/>
          <w:color w:val="auto"/>
          <w:sz w:val="36"/>
          <w:szCs w:val="36"/>
          <w:highlight w:val="none"/>
        </w:rPr>
        <w:t>法定代表人诚信投标承诺书</w:t>
      </w:r>
    </w:p>
    <w:p w14:paraId="68A7ED74">
      <w:pPr>
        <w:spacing w:line="360" w:lineRule="auto"/>
        <w:rPr>
          <w:rFonts w:ascii="宋体" w:hAnsi="宋体"/>
          <w:color w:val="auto"/>
          <w:sz w:val="22"/>
          <w:highlight w:val="none"/>
        </w:rPr>
      </w:pPr>
      <w:r>
        <w:rPr>
          <w:rFonts w:hint="eastAsia" w:ascii="宋体" w:hAnsi="宋体"/>
          <w:color w:val="auto"/>
          <w:sz w:val="22"/>
          <w:highlight w:val="none"/>
        </w:rPr>
        <w:t>本人以企业法定代表人的身份郑重承诺：</w:t>
      </w:r>
    </w:p>
    <w:p w14:paraId="04C0277F">
      <w:pPr>
        <w:spacing w:line="360" w:lineRule="auto"/>
        <w:ind w:firstLine="420"/>
        <w:rPr>
          <w:rFonts w:ascii="宋体" w:hAnsi="宋体"/>
          <w:color w:val="auto"/>
          <w:sz w:val="22"/>
          <w:highlight w:val="none"/>
        </w:rPr>
      </w:pPr>
      <w:r>
        <w:rPr>
          <w:rFonts w:hint="eastAsia" w:ascii="宋体" w:hAnsi="宋体"/>
          <w:color w:val="auto"/>
          <w:sz w:val="22"/>
          <w:highlight w:val="none"/>
        </w:rPr>
        <w:t>将遵循公开、公平、公正和诚信信用的原则参加</w:t>
      </w:r>
      <w:r>
        <w:rPr>
          <w:rFonts w:hint="eastAsia" w:ascii="宋体" w:hAnsi="宋体"/>
          <w:color w:val="auto"/>
          <w:sz w:val="22"/>
          <w:highlight w:val="none"/>
          <w:u w:val="single"/>
        </w:rPr>
        <w:t xml:space="preserve">                  项目（项目编号： ）</w:t>
      </w:r>
      <w:r>
        <w:rPr>
          <w:rFonts w:hint="eastAsia" w:ascii="宋体" w:hAnsi="宋体"/>
          <w:color w:val="auto"/>
          <w:sz w:val="22"/>
          <w:highlight w:val="none"/>
        </w:rPr>
        <w:t>的投标；</w:t>
      </w:r>
    </w:p>
    <w:p w14:paraId="728B67D2">
      <w:pPr>
        <w:spacing w:line="360" w:lineRule="auto"/>
        <w:ind w:firstLine="420"/>
        <w:rPr>
          <w:rFonts w:ascii="宋体" w:hAnsi="宋体"/>
          <w:color w:val="auto"/>
          <w:sz w:val="22"/>
          <w:highlight w:val="none"/>
        </w:rPr>
      </w:pPr>
      <w:r>
        <w:rPr>
          <w:rFonts w:hint="eastAsia" w:ascii="宋体" w:hAnsi="宋体"/>
          <w:color w:val="auto"/>
          <w:sz w:val="22"/>
          <w:highlight w:val="none"/>
        </w:rPr>
        <w:t>一、杜绝以收取管理费等形式的一切挂靠、违法转包、分包行为；并选派有丰富经验、无不</w:t>
      </w:r>
    </w:p>
    <w:p w14:paraId="0728FCC6">
      <w:pPr>
        <w:spacing w:line="360" w:lineRule="auto"/>
        <w:rPr>
          <w:rFonts w:ascii="宋体" w:hAnsi="宋体"/>
          <w:color w:val="auto"/>
          <w:sz w:val="22"/>
          <w:highlight w:val="none"/>
        </w:rPr>
      </w:pPr>
      <w:r>
        <w:rPr>
          <w:rFonts w:hint="eastAsia" w:ascii="宋体" w:hAnsi="宋体"/>
          <w:color w:val="auto"/>
          <w:sz w:val="22"/>
          <w:highlight w:val="none"/>
        </w:rPr>
        <w:t>良行为记录的在项目管理人员、技术人员，严格按招标文件文件、响应文件及合同等要求保证</w:t>
      </w:r>
    </w:p>
    <w:p w14:paraId="20610E0C">
      <w:pPr>
        <w:spacing w:line="360" w:lineRule="auto"/>
        <w:rPr>
          <w:rFonts w:ascii="宋体" w:hAnsi="宋体"/>
          <w:color w:val="auto"/>
          <w:sz w:val="22"/>
          <w:highlight w:val="none"/>
        </w:rPr>
      </w:pPr>
      <w:r>
        <w:rPr>
          <w:rFonts w:hint="eastAsia" w:ascii="宋体" w:hAnsi="宋体"/>
          <w:color w:val="auto"/>
          <w:sz w:val="22"/>
          <w:highlight w:val="none"/>
        </w:rPr>
        <w:t>拟派人员的到岗率。</w:t>
      </w:r>
    </w:p>
    <w:p w14:paraId="6D4CE8C0">
      <w:pPr>
        <w:spacing w:line="360" w:lineRule="auto"/>
        <w:ind w:firstLine="420"/>
        <w:rPr>
          <w:rFonts w:ascii="宋体" w:hAnsi="宋体"/>
          <w:color w:val="auto"/>
          <w:sz w:val="22"/>
          <w:highlight w:val="none"/>
        </w:rPr>
      </w:pPr>
      <w:r>
        <w:rPr>
          <w:rFonts w:hint="eastAsia" w:ascii="宋体" w:hAnsi="宋体"/>
          <w:color w:val="auto"/>
          <w:sz w:val="22"/>
          <w:highlight w:val="none"/>
        </w:rPr>
        <w:t>二、响应文件所提供的一切材料都是真实、有效、合法的。</w:t>
      </w:r>
    </w:p>
    <w:p w14:paraId="5C9D1A56">
      <w:pPr>
        <w:spacing w:line="360" w:lineRule="auto"/>
        <w:ind w:firstLine="420"/>
        <w:rPr>
          <w:rFonts w:ascii="宋体" w:hAnsi="宋体"/>
          <w:color w:val="auto"/>
          <w:sz w:val="22"/>
          <w:highlight w:val="none"/>
        </w:rPr>
      </w:pPr>
      <w:r>
        <w:rPr>
          <w:rFonts w:hint="eastAsia" w:ascii="宋体" w:hAnsi="宋体"/>
          <w:color w:val="auto"/>
          <w:sz w:val="22"/>
          <w:highlight w:val="none"/>
        </w:rPr>
        <w:t>三、不与其他供应商相互串通投标报价，不排挤其他供应商的公平竞争，不损害采购单位或其他供应商的合法权益。</w:t>
      </w:r>
    </w:p>
    <w:p w14:paraId="2A301171">
      <w:pPr>
        <w:spacing w:line="360" w:lineRule="auto"/>
        <w:ind w:firstLine="420"/>
        <w:rPr>
          <w:rFonts w:ascii="宋体" w:hAnsi="宋体"/>
          <w:color w:val="auto"/>
          <w:sz w:val="22"/>
          <w:highlight w:val="none"/>
        </w:rPr>
      </w:pPr>
      <w:r>
        <w:rPr>
          <w:rFonts w:hint="eastAsia" w:ascii="宋体" w:hAnsi="宋体"/>
          <w:color w:val="auto"/>
          <w:sz w:val="22"/>
          <w:highlight w:val="none"/>
        </w:rPr>
        <w:t>四、不与采购单位或招标代理机构串通投标，不损害国家利益，社会公共利益或其他人的合法权益。</w:t>
      </w:r>
    </w:p>
    <w:p w14:paraId="16499479">
      <w:pPr>
        <w:spacing w:line="360" w:lineRule="auto"/>
        <w:ind w:firstLine="420"/>
        <w:rPr>
          <w:rFonts w:ascii="宋体" w:hAnsi="宋体"/>
          <w:color w:val="auto"/>
          <w:sz w:val="22"/>
          <w:highlight w:val="none"/>
        </w:rPr>
      </w:pPr>
      <w:r>
        <w:rPr>
          <w:rFonts w:hint="eastAsia" w:ascii="宋体" w:hAnsi="宋体"/>
          <w:color w:val="auto"/>
          <w:sz w:val="22"/>
          <w:highlight w:val="none"/>
        </w:rPr>
        <w:t>五、不向采购单位或者评委成员行贿以牟取中标。</w:t>
      </w:r>
    </w:p>
    <w:p w14:paraId="0EB482FC">
      <w:pPr>
        <w:spacing w:line="360" w:lineRule="auto"/>
        <w:ind w:firstLine="420"/>
        <w:rPr>
          <w:rFonts w:ascii="宋体" w:hAnsi="宋体"/>
          <w:color w:val="auto"/>
          <w:sz w:val="22"/>
          <w:highlight w:val="none"/>
        </w:rPr>
      </w:pPr>
      <w:r>
        <w:rPr>
          <w:rFonts w:hint="eastAsia" w:ascii="宋体" w:hAnsi="宋体"/>
          <w:color w:val="auto"/>
          <w:sz w:val="22"/>
          <w:highlight w:val="none"/>
        </w:rPr>
        <w:t>六、不以其他人名义投标或者以其他方式弄虚作假，骗取中标。</w:t>
      </w:r>
    </w:p>
    <w:p w14:paraId="4C332BA8">
      <w:pPr>
        <w:spacing w:line="360" w:lineRule="auto"/>
        <w:ind w:firstLine="420"/>
        <w:rPr>
          <w:rFonts w:ascii="宋体" w:hAnsi="宋体"/>
          <w:color w:val="auto"/>
          <w:sz w:val="22"/>
          <w:highlight w:val="none"/>
        </w:rPr>
      </w:pPr>
      <w:r>
        <w:rPr>
          <w:rFonts w:hint="eastAsia" w:ascii="宋体" w:hAnsi="宋体"/>
          <w:color w:val="auto"/>
          <w:sz w:val="22"/>
          <w:highlight w:val="none"/>
        </w:rPr>
        <w:t>七、不在开标后进行虚假恶意投诉。</w:t>
      </w:r>
    </w:p>
    <w:p w14:paraId="04894DD0">
      <w:pPr>
        <w:spacing w:line="360" w:lineRule="auto"/>
        <w:ind w:firstLine="420"/>
        <w:rPr>
          <w:rFonts w:ascii="宋体" w:hAnsi="宋体"/>
          <w:color w:val="auto"/>
          <w:sz w:val="22"/>
          <w:highlight w:val="none"/>
        </w:rPr>
      </w:pPr>
      <w:r>
        <w:rPr>
          <w:rFonts w:hint="eastAsia" w:ascii="宋体" w:hAnsi="宋体"/>
          <w:color w:val="auto"/>
          <w:sz w:val="22"/>
          <w:highlight w:val="none"/>
        </w:rPr>
        <w:t>八、我单位没有被政府机关列入失信被执行人名单、重大税收违法案件当事人名单、政府采</w:t>
      </w:r>
    </w:p>
    <w:p w14:paraId="07852D0D">
      <w:pPr>
        <w:spacing w:line="360" w:lineRule="auto"/>
        <w:rPr>
          <w:rFonts w:ascii="宋体" w:hAnsi="宋体"/>
          <w:color w:val="auto"/>
          <w:sz w:val="22"/>
          <w:highlight w:val="none"/>
        </w:rPr>
      </w:pPr>
      <w:r>
        <w:rPr>
          <w:rFonts w:hint="eastAsia" w:ascii="宋体" w:hAnsi="宋体"/>
          <w:color w:val="auto"/>
          <w:sz w:val="22"/>
          <w:highlight w:val="none"/>
        </w:rPr>
        <w:t>购严重违法失信行为记录名单及其他不符合《中华人民共和国政府采购法》第二十二条规定条件</w:t>
      </w:r>
    </w:p>
    <w:p w14:paraId="66342571">
      <w:pPr>
        <w:spacing w:line="360" w:lineRule="auto"/>
        <w:rPr>
          <w:rFonts w:ascii="宋体" w:hAnsi="宋体"/>
          <w:color w:val="auto"/>
          <w:sz w:val="22"/>
          <w:highlight w:val="none"/>
        </w:rPr>
      </w:pPr>
      <w:r>
        <w:rPr>
          <w:rFonts w:hint="eastAsia" w:ascii="宋体" w:hAnsi="宋体"/>
          <w:color w:val="auto"/>
          <w:sz w:val="22"/>
          <w:highlight w:val="none"/>
        </w:rPr>
        <w:t>的情形：</w:t>
      </w:r>
    </w:p>
    <w:p w14:paraId="7DF82FD4">
      <w:pPr>
        <w:spacing w:line="360" w:lineRule="auto"/>
        <w:ind w:firstLine="420"/>
        <w:rPr>
          <w:rFonts w:ascii="宋体" w:hAnsi="宋体"/>
          <w:color w:val="auto"/>
          <w:sz w:val="22"/>
          <w:highlight w:val="none"/>
        </w:rPr>
      </w:pPr>
      <w:r>
        <w:rPr>
          <w:rFonts w:hint="eastAsia" w:ascii="宋体" w:hAnsi="宋体"/>
          <w:color w:val="auto"/>
          <w:sz w:val="22"/>
          <w:highlight w:val="none"/>
        </w:rPr>
        <w:t>九、没有被各地、各级财政部门禁止参加政府采购活动，且在限制期限内：</w:t>
      </w:r>
    </w:p>
    <w:p w14:paraId="4C6B84B1">
      <w:pPr>
        <w:spacing w:line="360" w:lineRule="auto"/>
        <w:ind w:firstLine="420"/>
        <w:rPr>
          <w:rFonts w:ascii="宋体" w:hAnsi="宋体"/>
          <w:color w:val="auto"/>
          <w:sz w:val="22"/>
          <w:highlight w:val="none"/>
        </w:rPr>
      </w:pPr>
      <w:r>
        <w:rPr>
          <w:rFonts w:hint="eastAsia" w:ascii="宋体" w:hAnsi="宋体"/>
          <w:color w:val="auto"/>
          <w:sz w:val="22"/>
          <w:highlight w:val="none"/>
        </w:rPr>
        <w:t>十、参与本项目政府采购活动 3 年内没有重大违法记录情况。</w:t>
      </w:r>
    </w:p>
    <w:p w14:paraId="50E6F353">
      <w:pPr>
        <w:spacing w:line="360" w:lineRule="auto"/>
        <w:ind w:firstLine="420"/>
        <w:rPr>
          <w:rFonts w:ascii="宋体" w:hAnsi="宋体"/>
          <w:color w:val="auto"/>
          <w:sz w:val="22"/>
          <w:highlight w:val="none"/>
        </w:rPr>
      </w:pPr>
      <w:r>
        <w:rPr>
          <w:rFonts w:hint="eastAsia" w:ascii="宋体" w:hAnsi="宋体"/>
          <w:color w:val="auto"/>
          <w:sz w:val="22"/>
          <w:highlight w:val="none"/>
        </w:rPr>
        <w:t>本公司若有违反本承诺内容的行为，愿意承担法律责任，包括不限于：愿意接受相关行政主</w:t>
      </w:r>
    </w:p>
    <w:p w14:paraId="0A0B3C71">
      <w:pPr>
        <w:spacing w:line="360" w:lineRule="auto"/>
        <w:rPr>
          <w:rFonts w:ascii="宋体" w:hAnsi="宋体"/>
          <w:color w:val="auto"/>
          <w:sz w:val="22"/>
          <w:highlight w:val="none"/>
        </w:rPr>
      </w:pPr>
      <w:r>
        <w:rPr>
          <w:rFonts w:hint="eastAsia" w:ascii="宋体" w:hAnsi="宋体"/>
          <w:color w:val="auto"/>
          <w:sz w:val="22"/>
          <w:highlight w:val="none"/>
        </w:rPr>
        <w:t>管部门作出的处罚；给采购单位造成损失的，依法承担相应的赔偿责任。</w:t>
      </w:r>
    </w:p>
    <w:p w14:paraId="1A3F707E">
      <w:pPr>
        <w:spacing w:line="360" w:lineRule="auto"/>
        <w:ind w:left="5040"/>
        <w:rPr>
          <w:rFonts w:ascii="宋体" w:hAnsi="宋体"/>
          <w:color w:val="auto"/>
          <w:sz w:val="22"/>
          <w:highlight w:val="none"/>
        </w:rPr>
      </w:pPr>
      <w:r>
        <w:rPr>
          <w:rFonts w:hint="eastAsia" w:ascii="宋体" w:hAnsi="宋体"/>
          <w:color w:val="auto"/>
          <w:sz w:val="22"/>
          <w:highlight w:val="none"/>
        </w:rPr>
        <w:t>法定代表人（签字或盖章）：</w:t>
      </w:r>
    </w:p>
    <w:p w14:paraId="72DF74FB">
      <w:pPr>
        <w:spacing w:line="360" w:lineRule="auto"/>
        <w:ind w:left="4620" w:firstLine="420"/>
        <w:rPr>
          <w:rFonts w:ascii="宋体" w:hAnsi="宋体"/>
          <w:color w:val="auto"/>
          <w:sz w:val="22"/>
          <w:highlight w:val="none"/>
        </w:rPr>
      </w:pPr>
      <w:r>
        <w:rPr>
          <w:rFonts w:hint="eastAsia" w:ascii="宋体" w:hAnsi="宋体"/>
          <w:color w:val="auto"/>
          <w:sz w:val="22"/>
          <w:highlight w:val="none"/>
        </w:rPr>
        <w:t>投标供应商（盖章）</w:t>
      </w:r>
    </w:p>
    <w:p w14:paraId="055B85A8">
      <w:pPr>
        <w:spacing w:line="360" w:lineRule="auto"/>
        <w:ind w:left="4620" w:firstLine="440" w:firstLineChars="200"/>
        <w:rPr>
          <w:rFonts w:ascii="宋体" w:hAnsi="宋体"/>
          <w:color w:val="auto"/>
          <w:sz w:val="22"/>
          <w:highlight w:val="none"/>
        </w:rPr>
      </w:pPr>
      <w:r>
        <w:rPr>
          <w:rFonts w:hint="eastAsia" w:ascii="宋体" w:hAnsi="宋体"/>
          <w:color w:val="auto"/>
          <w:sz w:val="22"/>
          <w:highlight w:val="none"/>
        </w:rPr>
        <w:t>承诺书签署日期：</w:t>
      </w:r>
      <w:r>
        <w:rPr>
          <w:rFonts w:ascii="宋体" w:hAnsi="宋体"/>
          <w:color w:val="auto"/>
          <w:sz w:val="22"/>
          <w:highlight w:val="none"/>
        </w:rPr>
        <w:t xml:space="preserve"> </w:t>
      </w:r>
    </w:p>
    <w:p w14:paraId="4DE317E2">
      <w:pPr>
        <w:spacing w:line="360" w:lineRule="auto"/>
        <w:rPr>
          <w:rFonts w:ascii="宋体" w:hAnsi="宋体"/>
          <w:b/>
          <w:color w:val="auto"/>
          <w:sz w:val="22"/>
          <w:highlight w:val="none"/>
          <w:u w:val="single"/>
        </w:rPr>
      </w:pPr>
      <w:r>
        <w:rPr>
          <w:rFonts w:hint="eastAsia" w:ascii="宋体" w:hAnsi="宋体"/>
          <w:b/>
          <w:color w:val="auto"/>
          <w:sz w:val="22"/>
          <w:highlight w:val="none"/>
          <w:u w:val="single"/>
        </w:rPr>
        <w:t>备注：▲投标供应商必须提供本承诺书，不提供按无效投标处理。</w:t>
      </w:r>
    </w:p>
    <w:p w14:paraId="1327129C">
      <w:pPr>
        <w:spacing w:line="440" w:lineRule="exact"/>
        <w:jc w:val="left"/>
        <w:rPr>
          <w:rFonts w:ascii="宋体" w:hAnsi="宋体"/>
          <w:b/>
          <w:color w:val="auto"/>
          <w:sz w:val="32"/>
          <w:szCs w:val="32"/>
          <w:highlight w:val="none"/>
        </w:rPr>
      </w:pPr>
    </w:p>
    <w:p w14:paraId="11FFA0F4">
      <w:pPr>
        <w:autoSpaceDE w:val="0"/>
        <w:autoSpaceDN w:val="0"/>
        <w:adjustRightInd w:val="0"/>
        <w:spacing w:line="440" w:lineRule="atLeast"/>
        <w:rPr>
          <w:rFonts w:ascii="宋体" w:hAnsi="宋体" w:cs="仿宋_GB2312"/>
          <w:b/>
          <w:bCs/>
          <w:color w:val="auto"/>
          <w:sz w:val="32"/>
          <w:szCs w:val="32"/>
          <w:highlight w:val="none"/>
        </w:rPr>
      </w:pPr>
      <w:r>
        <w:rPr>
          <w:rFonts w:ascii="宋体" w:hAnsi="宋体"/>
          <w:b/>
          <w:color w:val="auto"/>
          <w:sz w:val="32"/>
          <w:szCs w:val="32"/>
          <w:highlight w:val="none"/>
        </w:rPr>
        <w:br w:type="page"/>
      </w: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一</w:t>
      </w:r>
      <w:r>
        <w:rPr>
          <w:rFonts w:hint="eastAsia" w:ascii="宋体" w:hAnsi="宋体"/>
          <w:b/>
          <w:color w:val="auto"/>
          <w:sz w:val="32"/>
          <w:szCs w:val="32"/>
          <w:highlight w:val="none"/>
        </w:rPr>
        <w:t>）</w:t>
      </w:r>
    </w:p>
    <w:p w14:paraId="54E130D7">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商 务 偏 离 表</w:t>
      </w:r>
      <w:r>
        <w:rPr>
          <w:rFonts w:hint="eastAsia" w:ascii="宋体"/>
          <w:b/>
          <w:bCs/>
          <w:color w:val="auto"/>
          <w:sz w:val="36"/>
          <w:szCs w:val="36"/>
          <w:highlight w:val="none"/>
        </w:rPr>
        <w:t xml:space="preserve"> </w:t>
      </w:r>
    </w:p>
    <w:tbl>
      <w:tblPr>
        <w:tblStyle w:val="31"/>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4446A70A">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0DE71A09">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5C13B724">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664" w:type="dxa"/>
            <w:tcBorders>
              <w:top w:val="single" w:color="auto" w:sz="6" w:space="0"/>
              <w:left w:val="nil"/>
              <w:bottom w:val="single" w:color="auto" w:sz="6" w:space="0"/>
              <w:right w:val="single" w:color="auto" w:sz="6" w:space="0"/>
            </w:tcBorders>
            <w:vAlign w:val="center"/>
          </w:tcPr>
          <w:p w14:paraId="2DB6D243">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110" w:type="dxa"/>
            <w:tcBorders>
              <w:top w:val="single" w:color="auto" w:sz="6" w:space="0"/>
              <w:left w:val="nil"/>
              <w:bottom w:val="single" w:color="auto" w:sz="6" w:space="0"/>
              <w:right w:val="single" w:color="auto" w:sz="6" w:space="0"/>
            </w:tcBorders>
            <w:vAlign w:val="center"/>
          </w:tcPr>
          <w:p w14:paraId="75C429F9">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126" w:type="dxa"/>
            <w:tcBorders>
              <w:top w:val="single" w:color="auto" w:sz="6" w:space="0"/>
              <w:left w:val="nil"/>
              <w:bottom w:val="single" w:color="auto" w:sz="6" w:space="0"/>
              <w:right w:val="single" w:color="auto" w:sz="6" w:space="0"/>
            </w:tcBorders>
            <w:vAlign w:val="center"/>
          </w:tcPr>
          <w:p w14:paraId="4D36DC51">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308876E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9251C0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9E969D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BCA68D0">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4F8F1830">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77BCB9B6">
            <w:pPr>
              <w:autoSpaceDE w:val="0"/>
              <w:autoSpaceDN w:val="0"/>
              <w:adjustRightInd w:val="0"/>
              <w:spacing w:line="440" w:lineRule="atLeast"/>
              <w:jc w:val="center"/>
              <w:rPr>
                <w:rFonts w:ascii="宋体" w:cs="宋体"/>
                <w:b/>
                <w:bCs/>
                <w:color w:val="auto"/>
                <w:sz w:val="24"/>
                <w:highlight w:val="none"/>
              </w:rPr>
            </w:pPr>
          </w:p>
        </w:tc>
      </w:tr>
      <w:tr w14:paraId="19965E5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C7A8C13">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9C8A1D1">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05EA3D24">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D39BC3E">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2156E868">
            <w:pPr>
              <w:autoSpaceDE w:val="0"/>
              <w:autoSpaceDN w:val="0"/>
              <w:adjustRightInd w:val="0"/>
              <w:spacing w:line="440" w:lineRule="atLeast"/>
              <w:jc w:val="center"/>
              <w:rPr>
                <w:rFonts w:ascii="宋体" w:cs="宋体"/>
                <w:b/>
                <w:bCs/>
                <w:color w:val="auto"/>
                <w:sz w:val="24"/>
                <w:highlight w:val="none"/>
              </w:rPr>
            </w:pPr>
          </w:p>
        </w:tc>
      </w:tr>
      <w:tr w14:paraId="0F0B450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4FCE2F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18207AD2">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03BBDD71">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7ADC8D0">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6A2052AD">
            <w:pPr>
              <w:autoSpaceDE w:val="0"/>
              <w:autoSpaceDN w:val="0"/>
              <w:adjustRightInd w:val="0"/>
              <w:spacing w:line="440" w:lineRule="atLeast"/>
              <w:jc w:val="center"/>
              <w:rPr>
                <w:rFonts w:ascii="宋体" w:cs="宋体"/>
                <w:b/>
                <w:bCs/>
                <w:color w:val="auto"/>
                <w:sz w:val="24"/>
                <w:highlight w:val="none"/>
              </w:rPr>
            </w:pPr>
          </w:p>
        </w:tc>
      </w:tr>
      <w:tr w14:paraId="3E8AF8F7">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E7D66E8">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54A1C7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7C440C16">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D3E5CF4">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13EB1FA5">
            <w:pPr>
              <w:autoSpaceDE w:val="0"/>
              <w:autoSpaceDN w:val="0"/>
              <w:adjustRightInd w:val="0"/>
              <w:spacing w:line="440" w:lineRule="atLeast"/>
              <w:jc w:val="center"/>
              <w:rPr>
                <w:rFonts w:ascii="宋体" w:cs="宋体"/>
                <w:b/>
                <w:bCs/>
                <w:color w:val="auto"/>
                <w:sz w:val="24"/>
                <w:highlight w:val="none"/>
              </w:rPr>
            </w:pPr>
          </w:p>
        </w:tc>
      </w:tr>
      <w:tr w14:paraId="59F0E79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BD77FA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48BFA35D">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33ECE423">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B8A471F">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7CAF675D">
            <w:pPr>
              <w:autoSpaceDE w:val="0"/>
              <w:autoSpaceDN w:val="0"/>
              <w:adjustRightInd w:val="0"/>
              <w:spacing w:line="440" w:lineRule="atLeast"/>
              <w:jc w:val="center"/>
              <w:rPr>
                <w:rFonts w:ascii="宋体" w:cs="宋体"/>
                <w:b/>
                <w:bCs/>
                <w:color w:val="auto"/>
                <w:sz w:val="24"/>
                <w:highlight w:val="none"/>
              </w:rPr>
            </w:pPr>
          </w:p>
        </w:tc>
      </w:tr>
      <w:tr w14:paraId="28532B1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5536D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5DABA0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49DE077">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C71CEE7">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52C952ED">
            <w:pPr>
              <w:autoSpaceDE w:val="0"/>
              <w:autoSpaceDN w:val="0"/>
              <w:adjustRightInd w:val="0"/>
              <w:spacing w:line="440" w:lineRule="atLeast"/>
              <w:jc w:val="center"/>
              <w:rPr>
                <w:rFonts w:ascii="宋体" w:cs="宋体"/>
                <w:b/>
                <w:bCs/>
                <w:color w:val="auto"/>
                <w:sz w:val="24"/>
                <w:highlight w:val="none"/>
              </w:rPr>
            </w:pPr>
          </w:p>
        </w:tc>
      </w:tr>
      <w:tr w14:paraId="688E72D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AEF05E5">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430A103">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09F90C02">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77DA42FA">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4543AD41">
            <w:pPr>
              <w:autoSpaceDE w:val="0"/>
              <w:autoSpaceDN w:val="0"/>
              <w:adjustRightInd w:val="0"/>
              <w:spacing w:line="440" w:lineRule="atLeast"/>
              <w:jc w:val="center"/>
              <w:rPr>
                <w:rFonts w:ascii="宋体" w:cs="宋体"/>
                <w:b/>
                <w:bCs/>
                <w:color w:val="auto"/>
                <w:sz w:val="24"/>
                <w:highlight w:val="none"/>
              </w:rPr>
            </w:pPr>
          </w:p>
        </w:tc>
      </w:tr>
      <w:tr w14:paraId="14C5F5BF">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7618AA8D">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C28C78E">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9F6B267">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1E70774E">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5D7E11A1">
            <w:pPr>
              <w:autoSpaceDE w:val="0"/>
              <w:autoSpaceDN w:val="0"/>
              <w:adjustRightInd w:val="0"/>
              <w:spacing w:line="440" w:lineRule="atLeast"/>
              <w:jc w:val="center"/>
              <w:rPr>
                <w:rFonts w:ascii="宋体" w:cs="宋体"/>
                <w:b/>
                <w:bCs/>
                <w:color w:val="auto"/>
                <w:sz w:val="24"/>
                <w:highlight w:val="none"/>
              </w:rPr>
            </w:pPr>
          </w:p>
        </w:tc>
      </w:tr>
    </w:tbl>
    <w:p w14:paraId="293F5B57">
      <w:pPr>
        <w:spacing w:line="360" w:lineRule="auto"/>
        <w:ind w:left="4620" w:hanging="4620"/>
        <w:jc w:val="left"/>
        <w:rPr>
          <w:rFonts w:ascii="宋体"/>
          <w:b/>
          <w:bCs/>
          <w:color w:val="auto"/>
          <w:sz w:val="24"/>
          <w:highlight w:val="none"/>
        </w:rPr>
      </w:pPr>
      <w:r>
        <w:rPr>
          <w:rFonts w:hint="eastAsia" w:ascii="宋体" w:hAnsi="宋体"/>
          <w:color w:val="auto"/>
          <w:sz w:val="22"/>
          <w:highlight w:val="none"/>
        </w:rPr>
        <w:t>供应商全称（盖章）：</w:t>
      </w:r>
      <w:r>
        <w:rPr>
          <w:rFonts w:hint="eastAsia" w:ascii="宋体" w:hAnsi="宋体"/>
          <w:color w:val="auto"/>
          <w:sz w:val="22"/>
          <w:highlight w:val="none"/>
          <w:u w:val="single"/>
        </w:rPr>
        <w:t xml:space="preserve"> </w:t>
      </w:r>
      <w:r>
        <w:rPr>
          <w:rFonts w:hint="eastAsia" w:ascii="宋体"/>
          <w:b/>
          <w:bCs/>
          <w:color w:val="auto"/>
          <w:sz w:val="24"/>
          <w:highlight w:val="none"/>
          <w:u w:val="single"/>
        </w:rPr>
        <w:t xml:space="preserve">                </w:t>
      </w:r>
      <w:r>
        <w:rPr>
          <w:rFonts w:hint="eastAsia" w:ascii="宋体"/>
          <w:b/>
          <w:bCs/>
          <w:color w:val="auto"/>
          <w:sz w:val="32"/>
          <w:szCs w:val="32"/>
          <w:highlight w:val="none"/>
          <w:u w:val="single"/>
        </w:rPr>
        <w:t xml:space="preserve"> </w:t>
      </w:r>
    </w:p>
    <w:p w14:paraId="4CEE3902">
      <w:pPr>
        <w:autoSpaceDE w:val="0"/>
        <w:autoSpaceDN w:val="0"/>
        <w:adjustRightInd w:val="0"/>
        <w:spacing w:line="440" w:lineRule="atLeast"/>
        <w:rPr>
          <w:rFonts w:ascii="宋体" w:hAnsi="宋体" w:cs="仿宋_GB2312"/>
          <w:b/>
          <w:bCs/>
          <w:color w:val="auto"/>
          <w:sz w:val="32"/>
          <w:szCs w:val="32"/>
          <w:highlight w:val="none"/>
        </w:rPr>
      </w:pP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二</w:t>
      </w:r>
      <w:r>
        <w:rPr>
          <w:rFonts w:hint="eastAsia" w:ascii="宋体" w:hAnsi="宋体"/>
          <w:b/>
          <w:color w:val="auto"/>
          <w:sz w:val="32"/>
          <w:szCs w:val="32"/>
          <w:highlight w:val="none"/>
        </w:rPr>
        <w:t>）</w:t>
      </w:r>
    </w:p>
    <w:p w14:paraId="35A20FCD">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技术偏离表</w:t>
      </w:r>
    </w:p>
    <w:tbl>
      <w:tblPr>
        <w:tblStyle w:val="31"/>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ECC3458">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4BE03F8">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1FCBEA86">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300" w:type="dxa"/>
            <w:tcBorders>
              <w:top w:val="single" w:color="auto" w:sz="6" w:space="0"/>
              <w:left w:val="nil"/>
              <w:bottom w:val="single" w:color="auto" w:sz="6" w:space="0"/>
              <w:right w:val="single" w:color="auto" w:sz="6" w:space="0"/>
            </w:tcBorders>
            <w:vAlign w:val="center"/>
          </w:tcPr>
          <w:p w14:paraId="75E22561">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000" w:type="dxa"/>
            <w:tcBorders>
              <w:top w:val="single" w:color="auto" w:sz="6" w:space="0"/>
              <w:left w:val="nil"/>
              <w:bottom w:val="single" w:color="auto" w:sz="6" w:space="0"/>
              <w:right w:val="single" w:color="auto" w:sz="6" w:space="0"/>
            </w:tcBorders>
            <w:vAlign w:val="center"/>
          </w:tcPr>
          <w:p w14:paraId="00B449CA">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800" w:type="dxa"/>
            <w:tcBorders>
              <w:top w:val="single" w:color="auto" w:sz="6" w:space="0"/>
              <w:left w:val="nil"/>
              <w:bottom w:val="single" w:color="auto" w:sz="6" w:space="0"/>
              <w:right w:val="single" w:color="auto" w:sz="6" w:space="0"/>
            </w:tcBorders>
            <w:vAlign w:val="center"/>
          </w:tcPr>
          <w:p w14:paraId="43E1372B">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525D8E7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943209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030C43B">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2C6E5514">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5FCB500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1B9F884A">
            <w:pPr>
              <w:autoSpaceDE w:val="0"/>
              <w:autoSpaceDN w:val="0"/>
              <w:adjustRightInd w:val="0"/>
              <w:spacing w:line="440" w:lineRule="atLeast"/>
              <w:jc w:val="center"/>
              <w:rPr>
                <w:rFonts w:ascii="宋体" w:cs="宋体"/>
                <w:b/>
                <w:bCs/>
                <w:color w:val="auto"/>
                <w:sz w:val="24"/>
                <w:highlight w:val="none"/>
              </w:rPr>
            </w:pPr>
          </w:p>
        </w:tc>
      </w:tr>
      <w:tr w14:paraId="2630291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2864B01">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286303D">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06E05BD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14771EB">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43B98F23">
            <w:pPr>
              <w:autoSpaceDE w:val="0"/>
              <w:autoSpaceDN w:val="0"/>
              <w:adjustRightInd w:val="0"/>
              <w:spacing w:line="440" w:lineRule="atLeast"/>
              <w:jc w:val="center"/>
              <w:rPr>
                <w:rFonts w:ascii="宋体" w:cs="宋体"/>
                <w:b/>
                <w:bCs/>
                <w:color w:val="auto"/>
                <w:sz w:val="24"/>
                <w:highlight w:val="none"/>
              </w:rPr>
            </w:pPr>
          </w:p>
        </w:tc>
      </w:tr>
      <w:tr w14:paraId="56C5466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F01B821">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29AAB17">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7852C2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618623F">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1D836D90">
            <w:pPr>
              <w:autoSpaceDE w:val="0"/>
              <w:autoSpaceDN w:val="0"/>
              <w:adjustRightInd w:val="0"/>
              <w:spacing w:line="440" w:lineRule="atLeast"/>
              <w:jc w:val="center"/>
              <w:rPr>
                <w:rFonts w:ascii="宋体" w:cs="宋体"/>
                <w:b/>
                <w:bCs/>
                <w:color w:val="auto"/>
                <w:sz w:val="24"/>
                <w:highlight w:val="none"/>
              </w:rPr>
            </w:pPr>
          </w:p>
        </w:tc>
      </w:tr>
      <w:tr w14:paraId="11533D5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E25D25A">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C5A1908">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43C93D8B">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1630AA9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6C0457FA">
            <w:pPr>
              <w:autoSpaceDE w:val="0"/>
              <w:autoSpaceDN w:val="0"/>
              <w:adjustRightInd w:val="0"/>
              <w:spacing w:line="440" w:lineRule="atLeast"/>
              <w:jc w:val="center"/>
              <w:rPr>
                <w:rFonts w:ascii="宋体" w:cs="宋体"/>
                <w:b/>
                <w:bCs/>
                <w:color w:val="auto"/>
                <w:sz w:val="24"/>
                <w:highlight w:val="none"/>
              </w:rPr>
            </w:pPr>
          </w:p>
        </w:tc>
      </w:tr>
      <w:tr w14:paraId="415AACE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E9C88F">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DEE15A2">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14A41045">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B03ED50">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5883DA62">
            <w:pPr>
              <w:autoSpaceDE w:val="0"/>
              <w:autoSpaceDN w:val="0"/>
              <w:adjustRightInd w:val="0"/>
              <w:spacing w:line="440" w:lineRule="atLeast"/>
              <w:jc w:val="center"/>
              <w:rPr>
                <w:rFonts w:ascii="宋体" w:cs="宋体"/>
                <w:b/>
                <w:bCs/>
                <w:color w:val="auto"/>
                <w:sz w:val="24"/>
                <w:highlight w:val="none"/>
              </w:rPr>
            </w:pPr>
          </w:p>
        </w:tc>
      </w:tr>
      <w:tr w14:paraId="5329E91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4F3764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51C80CE">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47E54EFD">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BA9653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416570F1">
            <w:pPr>
              <w:autoSpaceDE w:val="0"/>
              <w:autoSpaceDN w:val="0"/>
              <w:adjustRightInd w:val="0"/>
              <w:spacing w:line="440" w:lineRule="atLeast"/>
              <w:jc w:val="center"/>
              <w:rPr>
                <w:rFonts w:ascii="宋体" w:cs="宋体"/>
                <w:b/>
                <w:bCs/>
                <w:color w:val="auto"/>
                <w:sz w:val="24"/>
                <w:highlight w:val="none"/>
              </w:rPr>
            </w:pPr>
          </w:p>
        </w:tc>
      </w:tr>
      <w:tr w14:paraId="4BEAB423">
        <w:tc>
          <w:tcPr>
            <w:tcW w:w="900" w:type="dxa"/>
            <w:tcBorders>
              <w:top w:val="single" w:color="auto" w:sz="6" w:space="0"/>
              <w:left w:val="single" w:color="auto" w:sz="6" w:space="0"/>
              <w:bottom w:val="single" w:color="auto" w:sz="6" w:space="0"/>
              <w:right w:val="single" w:color="auto" w:sz="6" w:space="0"/>
            </w:tcBorders>
          </w:tcPr>
          <w:p w14:paraId="756D409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84B1B95">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1AACA25">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3ACC7C6">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51604DDF">
            <w:pPr>
              <w:autoSpaceDE w:val="0"/>
              <w:autoSpaceDN w:val="0"/>
              <w:adjustRightInd w:val="0"/>
              <w:spacing w:line="440" w:lineRule="atLeast"/>
              <w:jc w:val="center"/>
              <w:rPr>
                <w:rFonts w:ascii="宋体" w:cs="宋体"/>
                <w:b/>
                <w:bCs/>
                <w:color w:val="auto"/>
                <w:sz w:val="24"/>
                <w:highlight w:val="none"/>
              </w:rPr>
            </w:pPr>
          </w:p>
        </w:tc>
      </w:tr>
      <w:tr w14:paraId="448B5FC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A67762F">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80209AD">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2439B5C4">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15CFE97">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548CBE5D">
            <w:pPr>
              <w:autoSpaceDE w:val="0"/>
              <w:autoSpaceDN w:val="0"/>
              <w:adjustRightInd w:val="0"/>
              <w:spacing w:line="440" w:lineRule="atLeast"/>
              <w:jc w:val="center"/>
              <w:rPr>
                <w:rFonts w:ascii="宋体" w:cs="宋体"/>
                <w:b/>
                <w:bCs/>
                <w:color w:val="auto"/>
                <w:sz w:val="24"/>
                <w:highlight w:val="none"/>
              </w:rPr>
            </w:pPr>
          </w:p>
        </w:tc>
      </w:tr>
    </w:tbl>
    <w:p w14:paraId="649F6468">
      <w:pPr>
        <w:pStyle w:val="17"/>
        <w:adjustRightInd w:val="0"/>
        <w:snapToGrid w:val="0"/>
        <w:spacing w:line="400" w:lineRule="exact"/>
        <w:rPr>
          <w:b/>
          <w:bCs/>
          <w:color w:val="auto"/>
          <w:sz w:val="24"/>
          <w:szCs w:val="24"/>
          <w:highlight w:val="none"/>
          <w:u w:val="single"/>
        </w:rPr>
      </w:pPr>
      <w:r>
        <w:rPr>
          <w:rFonts w:hint="eastAsia" w:hAnsi="宋体"/>
          <w:color w:val="auto"/>
          <w:sz w:val="22"/>
          <w:highlight w:val="none"/>
        </w:rPr>
        <w:t xml:space="preserve">供应商全称（盖章）： </w:t>
      </w:r>
      <w:r>
        <w:rPr>
          <w:rFonts w:hint="eastAsia"/>
          <w:b/>
          <w:bCs/>
          <w:color w:val="auto"/>
          <w:sz w:val="24"/>
          <w:szCs w:val="24"/>
          <w:highlight w:val="none"/>
          <w:u w:val="single"/>
        </w:rPr>
        <w:t xml:space="preserve">    </w:t>
      </w:r>
    </w:p>
    <w:p w14:paraId="33FFCB95">
      <w:pPr>
        <w:pStyle w:val="17"/>
        <w:adjustRightInd w:val="0"/>
        <w:snapToGrid w:val="0"/>
        <w:spacing w:line="400" w:lineRule="exact"/>
        <w:rPr>
          <w:rFonts w:hAnsi="宋体"/>
          <w:b/>
          <w:color w:val="auto"/>
          <w:sz w:val="22"/>
          <w:szCs w:val="22"/>
          <w:highlight w:val="none"/>
          <w:u w:val="single"/>
        </w:rPr>
      </w:pPr>
    </w:p>
    <w:p w14:paraId="0FF9F284">
      <w:pPr>
        <w:pStyle w:val="17"/>
        <w:adjustRightInd w:val="0"/>
        <w:snapToGrid w:val="0"/>
        <w:spacing w:line="400" w:lineRule="exact"/>
        <w:rPr>
          <w:b/>
          <w:bCs/>
          <w:color w:val="auto"/>
          <w:sz w:val="22"/>
          <w:szCs w:val="22"/>
          <w:highlight w:val="none"/>
          <w:u w:val="single"/>
        </w:rPr>
      </w:pPr>
      <w:r>
        <w:rPr>
          <w:rFonts w:hint="eastAsia" w:hAnsi="宋体"/>
          <w:b/>
          <w:color w:val="auto"/>
          <w:sz w:val="22"/>
          <w:szCs w:val="22"/>
          <w:highlight w:val="none"/>
          <w:u w:val="single"/>
        </w:rPr>
        <w:t>▲不提供此表格的将视为没有实质性响应招标文件。</w:t>
      </w:r>
    </w:p>
    <w:p w14:paraId="46CCA564">
      <w:pPr>
        <w:widowControl/>
        <w:jc w:val="left"/>
        <w:rPr>
          <w:rFonts w:ascii="宋体" w:hAnsi="宋体" w:cs="仿宋_GB2312"/>
          <w:color w:val="auto"/>
          <w:sz w:val="32"/>
          <w:szCs w:val="32"/>
          <w:highlight w:val="none"/>
        </w:rPr>
        <w:sectPr>
          <w:headerReference r:id="rId9" w:type="default"/>
          <w:footerReference r:id="rId10" w:type="default"/>
          <w:pgSz w:w="11906" w:h="16838"/>
          <w:pgMar w:top="1440" w:right="1106" w:bottom="1440" w:left="1622" w:header="720" w:footer="720" w:gutter="0"/>
          <w:cols w:space="720" w:num="1"/>
          <w:docGrid w:type="lines" w:linePitch="312" w:charSpace="0"/>
        </w:sectPr>
      </w:pPr>
    </w:p>
    <w:p w14:paraId="26BF52D1">
      <w:pPr>
        <w:rPr>
          <w:color w:val="auto"/>
          <w:sz w:val="36"/>
          <w:szCs w:val="36"/>
          <w:highlight w:val="none"/>
        </w:rPr>
      </w:pPr>
      <w:r>
        <w:rPr>
          <w:rFonts w:hint="eastAsia" w:ascii="宋体" w:hAnsi="宋体"/>
          <w:b/>
          <w:bCs/>
          <w:color w:val="auto"/>
          <w:sz w:val="32"/>
          <w:szCs w:val="32"/>
          <w:highlight w:val="none"/>
        </w:rPr>
        <w:t>附件十一</w:t>
      </w:r>
    </w:p>
    <w:p w14:paraId="08A0BA8E">
      <w:pPr>
        <w:pStyle w:val="17"/>
        <w:spacing w:line="440" w:lineRule="atLeast"/>
        <w:ind w:firstLine="1440" w:firstLineChars="400"/>
        <w:rPr>
          <w:rFonts w:hAnsi="Times New Roman"/>
          <w:color w:val="auto"/>
          <w:sz w:val="36"/>
          <w:szCs w:val="36"/>
          <w:highlight w:val="none"/>
        </w:rPr>
      </w:pPr>
    </w:p>
    <w:p w14:paraId="43D77A66">
      <w:pPr>
        <w:pStyle w:val="17"/>
        <w:spacing w:line="440" w:lineRule="atLeast"/>
        <w:jc w:val="center"/>
        <w:rPr>
          <w:rFonts w:hAnsi="Times New Roman"/>
          <w:color w:val="auto"/>
          <w:sz w:val="36"/>
          <w:szCs w:val="36"/>
          <w:highlight w:val="none"/>
        </w:rPr>
      </w:pPr>
      <w:r>
        <w:rPr>
          <w:rFonts w:hint="eastAsia" w:hAnsi="Times New Roman"/>
          <w:color w:val="auto"/>
          <w:sz w:val="36"/>
          <w:szCs w:val="36"/>
          <w:highlight w:val="none"/>
        </w:rPr>
        <w:t>投标供应商认为有必要提供的其他材料或证明</w:t>
      </w:r>
    </w:p>
    <w:p w14:paraId="6D65C488">
      <w:pPr>
        <w:rPr>
          <w:color w:val="auto"/>
          <w:highlight w:val="none"/>
        </w:rPr>
      </w:pPr>
    </w:p>
    <w:p w14:paraId="28E5264E">
      <w:pPr>
        <w:rPr>
          <w:color w:val="auto"/>
          <w:highlight w:val="none"/>
        </w:rPr>
      </w:pPr>
    </w:p>
    <w:p w14:paraId="78512D86">
      <w:pPr>
        <w:pStyle w:val="17"/>
        <w:adjustRightInd w:val="0"/>
        <w:snapToGrid w:val="0"/>
        <w:spacing w:line="400" w:lineRule="exact"/>
        <w:rPr>
          <w:rFonts w:ascii="Times New Roman" w:hAnsi="宋体"/>
          <w:color w:val="auto"/>
          <w:sz w:val="22"/>
          <w:szCs w:val="22"/>
          <w:highlight w:val="none"/>
        </w:rPr>
      </w:pPr>
      <w:r>
        <w:rPr>
          <w:rFonts w:ascii="Times New Roman" w:hAnsi="宋体"/>
          <w:color w:val="auto"/>
          <w:sz w:val="22"/>
          <w:szCs w:val="22"/>
          <w:highlight w:val="none"/>
        </w:rPr>
        <w:t xml:space="preserve"> </w:t>
      </w:r>
    </w:p>
    <w:p w14:paraId="48FC48B9">
      <w:pPr>
        <w:autoSpaceDE w:val="0"/>
        <w:autoSpaceDN w:val="0"/>
        <w:adjustRightInd w:val="0"/>
        <w:snapToGrid w:val="0"/>
        <w:spacing w:line="360" w:lineRule="atLeast"/>
        <w:jc w:val="center"/>
        <w:textAlignment w:val="bottom"/>
        <w:rPr>
          <w:rFonts w:hAnsi="宋体" w:cs="宋体"/>
          <w:b/>
          <w:bCs/>
          <w:color w:val="auto"/>
          <w:sz w:val="24"/>
          <w:highlight w:val="none"/>
        </w:rPr>
      </w:pPr>
      <w:r>
        <w:rPr>
          <w:rFonts w:hAnsi="宋体"/>
          <w:b/>
          <w:bCs/>
          <w:color w:val="auto"/>
          <w:sz w:val="24"/>
          <w:highlight w:val="none"/>
        </w:rPr>
        <w:t xml:space="preserve"> </w:t>
      </w:r>
    </w:p>
    <w:p w14:paraId="705683C4">
      <w:pPr>
        <w:widowControl/>
        <w:jc w:val="left"/>
        <w:rPr>
          <w:rFonts w:ascii="宋体" w:hAnsi="宋体"/>
          <w:b/>
          <w:bCs/>
          <w:color w:val="auto"/>
          <w:sz w:val="32"/>
          <w:szCs w:val="32"/>
          <w:highlight w:val="none"/>
        </w:rPr>
        <w:sectPr>
          <w:headerReference r:id="rId11" w:type="default"/>
          <w:footerReference r:id="rId12" w:type="default"/>
          <w:pgSz w:w="11907" w:h="16840"/>
          <w:pgMar w:top="1440" w:right="1106" w:bottom="1440" w:left="1157" w:header="720" w:footer="720" w:gutter="0"/>
          <w:cols w:space="720" w:num="1"/>
          <w:docGrid w:type="lines" w:linePitch="312" w:charSpace="0"/>
        </w:sectPr>
      </w:pPr>
    </w:p>
    <w:p w14:paraId="4A35E6EE">
      <w:pPr>
        <w:spacing w:line="440" w:lineRule="exact"/>
        <w:jc w:val="left"/>
        <w:rPr>
          <w:rFonts w:ascii="宋体" w:hAnsi="宋体"/>
          <w:b/>
          <w:bCs/>
          <w:color w:val="auto"/>
          <w:sz w:val="32"/>
          <w:szCs w:val="32"/>
          <w:highlight w:val="none"/>
        </w:rPr>
      </w:pPr>
      <w:r>
        <w:rPr>
          <w:rFonts w:hint="eastAsia" w:ascii="宋体" w:hAnsi="宋体"/>
          <w:b/>
          <w:bCs/>
          <w:color w:val="auto"/>
          <w:sz w:val="32"/>
          <w:szCs w:val="32"/>
          <w:highlight w:val="none"/>
        </w:rPr>
        <w:t>附件十二</w:t>
      </w:r>
    </w:p>
    <w:p w14:paraId="12D6ADB0">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评分对应表（参考）</w:t>
      </w:r>
      <w:r>
        <w:rPr>
          <w:rFonts w:hint="eastAsia" w:ascii="宋体" w:hAnsi="宋体"/>
          <w:b/>
          <w:bCs/>
          <w:color w:val="auto"/>
          <w:szCs w:val="21"/>
          <w:highlight w:val="none"/>
        </w:rPr>
        <w:t>置于目录处</w:t>
      </w:r>
    </w:p>
    <w:p w14:paraId="03667E00">
      <w:pPr>
        <w:spacing w:line="440" w:lineRule="exact"/>
        <w:ind w:firstLine="360"/>
        <w:jc w:val="right"/>
        <w:rPr>
          <w:rFonts w:ascii="宋体" w:hAnsi="宋体"/>
          <w:b/>
          <w:bCs/>
          <w:color w:val="auto"/>
          <w:sz w:val="24"/>
          <w:highlight w:val="none"/>
        </w:rPr>
      </w:pPr>
      <w:r>
        <w:rPr>
          <w:rFonts w:hint="eastAsia" w:ascii="宋体" w:hAnsi="宋体"/>
          <w:b/>
          <w:bCs/>
          <w:color w:val="auto"/>
          <w:sz w:val="24"/>
          <w:highlight w:val="none"/>
        </w:rPr>
        <w:t xml:space="preserve">                                  </w:t>
      </w:r>
    </w:p>
    <w:p w14:paraId="3AF13E1D">
      <w:pPr>
        <w:spacing w:line="440" w:lineRule="exact"/>
        <w:rPr>
          <w:rFonts w:ascii="宋体" w:hAnsi="宋体"/>
          <w:b/>
          <w:bCs/>
          <w:color w:val="auto"/>
          <w:sz w:val="24"/>
          <w:highlight w:val="none"/>
        </w:rPr>
      </w:pPr>
      <w:r>
        <w:rPr>
          <w:rFonts w:hint="eastAsia" w:ascii="宋体" w:hAnsi="宋体"/>
          <w:b/>
          <w:bCs/>
          <w:color w:val="auto"/>
          <w:sz w:val="24"/>
          <w:highlight w:val="none"/>
        </w:rPr>
        <w:t>供应商名称：                                     项目编号：</w:t>
      </w:r>
    </w:p>
    <w:tbl>
      <w:tblPr>
        <w:tblStyle w:val="31"/>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60EC4E5A">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FEA7CE4">
            <w:pPr>
              <w:pStyle w:val="26"/>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序号</w:t>
            </w:r>
          </w:p>
        </w:tc>
        <w:tc>
          <w:tcPr>
            <w:tcW w:w="1828" w:type="dxa"/>
            <w:tcBorders>
              <w:top w:val="single" w:color="000000" w:sz="4" w:space="0"/>
              <w:left w:val="nil"/>
              <w:bottom w:val="single" w:color="000000" w:sz="4" w:space="0"/>
              <w:right w:val="single" w:color="000000" w:sz="4" w:space="0"/>
            </w:tcBorders>
            <w:vAlign w:val="center"/>
          </w:tcPr>
          <w:p w14:paraId="2C4A5B95">
            <w:pPr>
              <w:pStyle w:val="26"/>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评审内容</w:t>
            </w:r>
          </w:p>
        </w:tc>
        <w:tc>
          <w:tcPr>
            <w:tcW w:w="4052" w:type="dxa"/>
            <w:tcBorders>
              <w:top w:val="single" w:color="000000" w:sz="4" w:space="0"/>
              <w:left w:val="nil"/>
              <w:bottom w:val="single" w:color="000000" w:sz="4" w:space="0"/>
              <w:right w:val="single" w:color="000000" w:sz="4" w:space="0"/>
            </w:tcBorders>
            <w:vAlign w:val="center"/>
          </w:tcPr>
          <w:p w14:paraId="03EF9F9F">
            <w:pPr>
              <w:pStyle w:val="26"/>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评分标准</w:t>
            </w:r>
          </w:p>
        </w:tc>
        <w:tc>
          <w:tcPr>
            <w:tcW w:w="1511" w:type="dxa"/>
            <w:tcBorders>
              <w:top w:val="single" w:color="000000" w:sz="4" w:space="0"/>
              <w:left w:val="nil"/>
              <w:bottom w:val="single" w:color="000000" w:sz="4" w:space="0"/>
              <w:right w:val="single" w:color="000000" w:sz="4" w:space="0"/>
            </w:tcBorders>
            <w:vAlign w:val="center"/>
          </w:tcPr>
          <w:p w14:paraId="2541A8D7">
            <w:pPr>
              <w:pStyle w:val="26"/>
              <w:ind w:firstLine="0" w:firstLineChars="0"/>
              <w:jc w:val="center"/>
              <w:rPr>
                <w:rFonts w:ascii="宋体" w:hAnsi="宋体"/>
                <w:b/>
                <w:bCs/>
                <w:color w:val="auto"/>
                <w:sz w:val="22"/>
                <w:szCs w:val="22"/>
                <w:highlight w:val="none"/>
              </w:rPr>
            </w:pPr>
            <w:r>
              <w:rPr>
                <w:rFonts w:hint="eastAsia" w:ascii="宋体" w:hAnsi="宋体"/>
                <w:b/>
                <w:bCs/>
                <w:color w:val="auto"/>
                <w:sz w:val="22"/>
                <w:szCs w:val="22"/>
                <w:highlight w:val="none"/>
              </w:rPr>
              <w:t>自评分</w:t>
            </w:r>
          </w:p>
        </w:tc>
        <w:tc>
          <w:tcPr>
            <w:tcW w:w="2578" w:type="dxa"/>
            <w:tcBorders>
              <w:top w:val="single" w:color="000000" w:sz="4" w:space="0"/>
              <w:left w:val="nil"/>
              <w:bottom w:val="single" w:color="000000" w:sz="4" w:space="0"/>
              <w:right w:val="single" w:color="000000" w:sz="4" w:space="0"/>
            </w:tcBorders>
            <w:vAlign w:val="center"/>
          </w:tcPr>
          <w:p w14:paraId="02AE9D8D">
            <w:pPr>
              <w:pStyle w:val="26"/>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页码</w:t>
            </w:r>
          </w:p>
        </w:tc>
      </w:tr>
      <w:tr w14:paraId="067FD4B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C051916">
            <w:pPr>
              <w:pStyle w:val="26"/>
              <w:ind w:firstLine="0" w:firstLineChars="0"/>
              <w:jc w:val="center"/>
              <w:rPr>
                <w:rFonts w:ascii="宋体" w:hAnsi="宋体"/>
                <w:color w:val="auto"/>
                <w:sz w:val="22"/>
                <w:szCs w:val="22"/>
                <w:highlight w:val="none"/>
              </w:rPr>
            </w:pPr>
            <w:r>
              <w:rPr>
                <w:rFonts w:ascii="宋体" w:hAnsi="宋体"/>
                <w:color w:val="auto"/>
                <w:sz w:val="22"/>
                <w:szCs w:val="22"/>
                <w:highlight w:val="none"/>
              </w:rPr>
              <w:t>一</w:t>
            </w:r>
          </w:p>
        </w:tc>
        <w:tc>
          <w:tcPr>
            <w:tcW w:w="1828" w:type="dxa"/>
            <w:tcBorders>
              <w:top w:val="single" w:color="000000" w:sz="4" w:space="0"/>
              <w:left w:val="nil"/>
              <w:bottom w:val="single" w:color="000000" w:sz="4" w:space="0"/>
              <w:right w:val="single" w:color="000000" w:sz="4" w:space="0"/>
            </w:tcBorders>
            <w:vAlign w:val="center"/>
          </w:tcPr>
          <w:p w14:paraId="2ACDDA20">
            <w:pPr>
              <w:pStyle w:val="26"/>
              <w:ind w:firstLine="0" w:firstLineChars="0"/>
              <w:jc w:val="center"/>
              <w:rPr>
                <w:rFonts w:ascii="宋体" w:hAnsi="宋体"/>
                <w:color w:val="auto"/>
                <w:sz w:val="22"/>
                <w:szCs w:val="22"/>
                <w:highlight w:val="none"/>
              </w:rPr>
            </w:pPr>
            <w:r>
              <w:rPr>
                <w:rFonts w:ascii="宋体" w:hAnsi="宋体"/>
                <w:color w:val="auto"/>
                <w:sz w:val="22"/>
                <w:szCs w:val="22"/>
                <w:highlight w:val="none"/>
              </w:rPr>
              <w:t>技术分</w:t>
            </w:r>
          </w:p>
        </w:tc>
        <w:tc>
          <w:tcPr>
            <w:tcW w:w="4052" w:type="dxa"/>
            <w:tcBorders>
              <w:top w:val="single" w:color="000000" w:sz="4" w:space="0"/>
              <w:left w:val="nil"/>
              <w:bottom w:val="single" w:color="000000" w:sz="4" w:space="0"/>
              <w:right w:val="single" w:color="000000" w:sz="4" w:space="0"/>
            </w:tcBorders>
            <w:vAlign w:val="center"/>
          </w:tcPr>
          <w:p w14:paraId="62D420A7">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74828798">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874E1D1">
            <w:pPr>
              <w:pStyle w:val="26"/>
              <w:ind w:firstLine="0" w:firstLineChars="0"/>
              <w:jc w:val="center"/>
              <w:rPr>
                <w:rFonts w:ascii="宋体" w:hAnsi="宋体"/>
                <w:color w:val="auto"/>
                <w:sz w:val="22"/>
                <w:szCs w:val="22"/>
                <w:highlight w:val="none"/>
              </w:rPr>
            </w:pPr>
            <w:r>
              <w:rPr>
                <w:rFonts w:ascii="宋体" w:hAnsi="宋体"/>
                <w:color w:val="auto"/>
                <w:sz w:val="22"/>
                <w:highlight w:val="none"/>
              </w:rPr>
              <w:t>详见</w:t>
            </w:r>
            <w:r>
              <w:rPr>
                <w:rFonts w:hint="eastAsia" w:ascii="宋体" w:hAnsi="宋体"/>
                <w:color w:val="auto"/>
                <w:sz w:val="22"/>
                <w:highlight w:val="none"/>
              </w:rPr>
              <w:t>投标</w:t>
            </w:r>
            <w:r>
              <w:rPr>
                <w:rFonts w:ascii="宋体" w:hAnsi="宋体"/>
                <w:color w:val="auto"/>
                <w:sz w:val="22"/>
                <w:highlight w:val="none"/>
              </w:rPr>
              <w:t>文件第几页</w:t>
            </w:r>
          </w:p>
        </w:tc>
      </w:tr>
      <w:tr w14:paraId="1902FD3F">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F660C05">
            <w:pPr>
              <w:widowControl/>
              <w:jc w:val="center"/>
              <w:rPr>
                <w:rFonts w:ascii="宋体" w:hAnsi="宋体" w:cs="宋体"/>
                <w:color w:val="auto"/>
                <w:sz w:val="22"/>
                <w:highlight w:val="none"/>
              </w:rPr>
            </w:pPr>
            <w:r>
              <w:rPr>
                <w:rFonts w:ascii="宋体" w:hAnsi="宋体"/>
                <w:color w:val="auto"/>
                <w:sz w:val="22"/>
                <w:highlight w:val="none"/>
              </w:rPr>
              <w:t>1</w:t>
            </w:r>
          </w:p>
        </w:tc>
        <w:tc>
          <w:tcPr>
            <w:tcW w:w="1828" w:type="dxa"/>
            <w:tcBorders>
              <w:top w:val="single" w:color="000000" w:sz="4" w:space="0"/>
              <w:left w:val="nil"/>
              <w:bottom w:val="single" w:color="000000" w:sz="4" w:space="0"/>
              <w:right w:val="single" w:color="000000" w:sz="4" w:space="0"/>
            </w:tcBorders>
            <w:vAlign w:val="center"/>
          </w:tcPr>
          <w:p w14:paraId="12B94961">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351B660C">
            <w:pPr>
              <w:pStyle w:val="26"/>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52B9FFAC">
            <w:pPr>
              <w:pStyle w:val="26"/>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3BC4B1CA">
            <w:pPr>
              <w:jc w:val="center"/>
              <w:rPr>
                <w:rFonts w:ascii="宋体" w:hAnsi="宋体"/>
                <w:color w:val="auto"/>
                <w:sz w:val="22"/>
                <w:highlight w:val="none"/>
              </w:rPr>
            </w:pPr>
            <w:r>
              <w:rPr>
                <w:rFonts w:ascii="宋体" w:hAnsi="宋体"/>
                <w:color w:val="auto"/>
                <w:sz w:val="22"/>
                <w:highlight w:val="none"/>
              </w:rPr>
              <w:t>……</w:t>
            </w:r>
          </w:p>
        </w:tc>
      </w:tr>
      <w:tr w14:paraId="6C2C7BE1">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D44F25B">
            <w:pPr>
              <w:widowControl/>
              <w:jc w:val="center"/>
              <w:rPr>
                <w:rFonts w:ascii="宋体" w:hAnsi="宋体" w:cs="宋体"/>
                <w:color w:val="auto"/>
                <w:sz w:val="22"/>
                <w:highlight w:val="none"/>
              </w:rPr>
            </w:pPr>
            <w:r>
              <w:rPr>
                <w:rFonts w:ascii="宋体" w:hAnsi="宋体"/>
                <w:color w:val="auto"/>
                <w:sz w:val="22"/>
                <w:highlight w:val="none"/>
              </w:rPr>
              <w:t>2</w:t>
            </w:r>
          </w:p>
        </w:tc>
        <w:tc>
          <w:tcPr>
            <w:tcW w:w="1828" w:type="dxa"/>
            <w:tcBorders>
              <w:top w:val="single" w:color="000000" w:sz="4" w:space="0"/>
              <w:left w:val="nil"/>
              <w:bottom w:val="single" w:color="000000" w:sz="4" w:space="0"/>
              <w:right w:val="single" w:color="000000" w:sz="4" w:space="0"/>
            </w:tcBorders>
            <w:vAlign w:val="center"/>
          </w:tcPr>
          <w:p w14:paraId="3CA22B18">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3389A0AA">
            <w:pPr>
              <w:pStyle w:val="26"/>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5383AB2C">
            <w:pPr>
              <w:pStyle w:val="26"/>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034BC6F6">
            <w:pPr>
              <w:jc w:val="center"/>
              <w:rPr>
                <w:color w:val="auto"/>
                <w:highlight w:val="none"/>
              </w:rPr>
            </w:pPr>
          </w:p>
        </w:tc>
      </w:tr>
      <w:tr w14:paraId="735F85D7">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7402430A">
            <w:pPr>
              <w:widowControl/>
              <w:jc w:val="center"/>
              <w:rPr>
                <w:rFonts w:ascii="宋体" w:hAnsi="宋体" w:cs="宋体"/>
                <w:color w:val="auto"/>
                <w:sz w:val="22"/>
                <w:highlight w:val="none"/>
              </w:rPr>
            </w:pPr>
            <w:r>
              <w:rPr>
                <w:rFonts w:ascii="宋体" w:hAnsi="宋体"/>
                <w:color w:val="auto"/>
                <w:sz w:val="22"/>
                <w:highlight w:val="none"/>
              </w:rPr>
              <w:t>……</w:t>
            </w:r>
          </w:p>
        </w:tc>
        <w:tc>
          <w:tcPr>
            <w:tcW w:w="1828" w:type="dxa"/>
            <w:tcBorders>
              <w:top w:val="nil"/>
              <w:left w:val="nil"/>
              <w:bottom w:val="single" w:color="000000" w:sz="4" w:space="0"/>
              <w:right w:val="single" w:color="000000" w:sz="4" w:space="0"/>
            </w:tcBorders>
            <w:vAlign w:val="center"/>
          </w:tcPr>
          <w:p w14:paraId="63767116">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4D4ADB01">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18242EC8">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9FBBD79">
            <w:pPr>
              <w:jc w:val="center"/>
              <w:rPr>
                <w:color w:val="auto"/>
                <w:highlight w:val="none"/>
              </w:rPr>
            </w:pPr>
          </w:p>
        </w:tc>
      </w:tr>
      <w:tr w14:paraId="5D37B525">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404A7EA">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4CD4818C">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684EDD7A">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E7E289C">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5C8A6D4">
            <w:pPr>
              <w:jc w:val="center"/>
              <w:rPr>
                <w:color w:val="auto"/>
                <w:highlight w:val="none"/>
              </w:rPr>
            </w:pPr>
          </w:p>
        </w:tc>
      </w:tr>
      <w:tr w14:paraId="03D74C26">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8FC7C02">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0D4F1143">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22D09B3A">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B3C9448">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2795DEDE">
            <w:pPr>
              <w:jc w:val="center"/>
              <w:rPr>
                <w:color w:val="auto"/>
                <w:highlight w:val="none"/>
              </w:rPr>
            </w:pPr>
          </w:p>
        </w:tc>
      </w:tr>
      <w:tr w14:paraId="38266F21">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74350A8">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15683065">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7D3FBC09">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6A2FDAF">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CA02363">
            <w:pPr>
              <w:jc w:val="center"/>
              <w:rPr>
                <w:color w:val="auto"/>
                <w:highlight w:val="none"/>
              </w:rPr>
            </w:pPr>
          </w:p>
        </w:tc>
      </w:tr>
      <w:tr w14:paraId="7D57D8FD">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5CF6DE1">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3D8F9C9F">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21F1F873">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24ED4FB">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C498337">
            <w:pPr>
              <w:jc w:val="center"/>
              <w:rPr>
                <w:color w:val="auto"/>
                <w:highlight w:val="none"/>
              </w:rPr>
            </w:pPr>
          </w:p>
        </w:tc>
      </w:tr>
      <w:tr w14:paraId="390F7BCD">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4F674391">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744FAC0A">
            <w:pPr>
              <w:widowControl/>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545E5C02">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1FDBD04E">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F99A0AF">
            <w:pPr>
              <w:jc w:val="center"/>
              <w:rPr>
                <w:color w:val="auto"/>
                <w:highlight w:val="none"/>
              </w:rPr>
            </w:pPr>
          </w:p>
        </w:tc>
      </w:tr>
      <w:tr w14:paraId="5D467E7F">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12215DED">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05FB91FD">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587A7765">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00681DA">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1066D9B8">
            <w:pPr>
              <w:jc w:val="center"/>
              <w:rPr>
                <w:color w:val="auto"/>
                <w:highlight w:val="none"/>
              </w:rPr>
            </w:pPr>
          </w:p>
        </w:tc>
      </w:tr>
      <w:tr w14:paraId="78084D2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8C7AB5C">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317554DB">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6A6D3EE0">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7C6F452B">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486B84E">
            <w:pPr>
              <w:jc w:val="center"/>
              <w:rPr>
                <w:color w:val="auto"/>
                <w:highlight w:val="none"/>
              </w:rPr>
            </w:pPr>
          </w:p>
        </w:tc>
      </w:tr>
      <w:tr w14:paraId="38787187">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97A0192">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414261A9">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0D882900">
            <w:pPr>
              <w:pStyle w:val="26"/>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495FC6F">
            <w:pPr>
              <w:pStyle w:val="26"/>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FF1CCF2">
            <w:pPr>
              <w:jc w:val="center"/>
              <w:rPr>
                <w:color w:val="auto"/>
                <w:highlight w:val="none"/>
              </w:rPr>
            </w:pPr>
          </w:p>
        </w:tc>
      </w:tr>
    </w:tbl>
    <w:p w14:paraId="1C5C993A">
      <w:pPr>
        <w:spacing w:before="50" w:after="50"/>
        <w:ind w:firstLine="600"/>
        <w:rPr>
          <w:rFonts w:ascii="宋体" w:hAnsi="宋体"/>
          <w:b/>
          <w:bCs/>
          <w:color w:val="auto"/>
          <w:sz w:val="24"/>
          <w:highlight w:val="none"/>
        </w:rPr>
      </w:pPr>
      <w:r>
        <w:rPr>
          <w:rFonts w:hint="eastAsia" w:ascii="宋体" w:hAnsi="宋体"/>
          <w:b/>
          <w:bCs/>
          <w:color w:val="auto"/>
          <w:sz w:val="24"/>
          <w:highlight w:val="none"/>
        </w:rPr>
        <w:t>注：评分对应表主要用于作为专家评分的一个参考及查阅依据。</w:t>
      </w:r>
    </w:p>
    <w:p w14:paraId="183FA7BA">
      <w:pPr>
        <w:tabs>
          <w:tab w:val="left" w:pos="1080"/>
        </w:tabs>
        <w:autoSpaceDE w:val="0"/>
        <w:autoSpaceDN w:val="0"/>
        <w:adjustRightInd w:val="0"/>
        <w:spacing w:line="500" w:lineRule="atLeast"/>
        <w:jc w:val="center"/>
        <w:textAlignment w:val="baseline"/>
        <w:outlineLvl w:val="0"/>
        <w:rPr>
          <w:rFonts w:ascii="宋体"/>
          <w:b/>
          <w:bCs/>
          <w:color w:val="auto"/>
          <w:sz w:val="36"/>
          <w:szCs w:val="36"/>
          <w:highlight w:val="none"/>
          <w:lang w:val="zh-CN"/>
        </w:rPr>
      </w:pPr>
      <w:r>
        <w:rPr>
          <w:rFonts w:hint="eastAsia" w:ascii="宋体" w:hAnsi="Calibri"/>
          <w:b/>
          <w:bCs/>
          <w:color w:val="auto"/>
          <w:sz w:val="36"/>
          <w:szCs w:val="36"/>
          <w:highlight w:val="none"/>
          <w:lang w:val="zh-CN"/>
        </w:rPr>
        <w:br w:type="page"/>
      </w:r>
      <w:r>
        <w:rPr>
          <w:rFonts w:hint="eastAsia" w:ascii="宋体"/>
          <w:b/>
          <w:bCs/>
          <w:color w:val="auto"/>
          <w:sz w:val="36"/>
          <w:szCs w:val="36"/>
          <w:highlight w:val="none"/>
          <w:lang w:val="zh-CN"/>
        </w:rPr>
        <w:t>第七部分   评标办法</w:t>
      </w:r>
    </w:p>
    <w:p w14:paraId="354AC13F">
      <w:pPr>
        <w:adjustRightInd w:val="0"/>
        <w:snapToGrid w:val="0"/>
        <w:spacing w:line="400" w:lineRule="exact"/>
        <w:ind w:firstLine="420"/>
        <w:rPr>
          <w:rFonts w:ascii="宋体" w:hAnsi="宋体"/>
          <w:color w:val="auto"/>
          <w:sz w:val="22"/>
          <w:szCs w:val="22"/>
          <w:highlight w:val="none"/>
        </w:rPr>
      </w:pPr>
      <w:r>
        <w:rPr>
          <w:rFonts w:hint="eastAsia" w:ascii="宋体" w:hAnsi="宋体"/>
          <w:color w:val="auto"/>
          <w:sz w:val="22"/>
          <w:szCs w:val="22"/>
          <w:highlight w:val="none"/>
        </w:rPr>
        <w:t>根据《中华人民共和国政府采购法》等有关政府采购法规，结合本次所要采购服务的实际，按照公平、公正、科学、择优的原则选择成交单位，特制定本评标办法。</w:t>
      </w:r>
    </w:p>
    <w:p w14:paraId="2F7DCEB9">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一、总则</w:t>
      </w:r>
    </w:p>
    <w:p w14:paraId="2A64A2FC">
      <w:pPr>
        <w:adjustRightInd w:val="0"/>
        <w:snapToGrid w:val="0"/>
        <w:spacing w:line="400" w:lineRule="exact"/>
        <w:ind w:firstLine="420"/>
        <w:rPr>
          <w:rFonts w:ascii="宋体" w:hAnsi="宋体"/>
          <w:color w:val="auto"/>
          <w:sz w:val="22"/>
          <w:szCs w:val="22"/>
          <w:highlight w:val="none"/>
        </w:rPr>
      </w:pPr>
      <w:r>
        <w:rPr>
          <w:rFonts w:hint="eastAsia" w:ascii="宋体" w:hAnsi="宋体" w:eastAsia="宋体" w:cs="Times New Roman"/>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color w:val="auto"/>
          <w:sz w:val="22"/>
          <w:szCs w:val="22"/>
          <w:highlight w:val="none"/>
        </w:rPr>
        <w:t>。</w:t>
      </w:r>
    </w:p>
    <w:p w14:paraId="582F1927">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二、评审组织</w:t>
      </w:r>
    </w:p>
    <w:p w14:paraId="7D1A323C">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color w:val="auto"/>
          <w:sz w:val="22"/>
          <w:szCs w:val="22"/>
          <w:highlight w:val="none"/>
        </w:rPr>
        <w:t>标</w:t>
      </w:r>
      <w:r>
        <w:rPr>
          <w:rFonts w:hint="eastAsia" w:ascii="宋体" w:hAnsi="宋体" w:eastAsia="宋体" w:cs="Times New Roman"/>
          <w:color w:val="auto"/>
          <w:sz w:val="22"/>
          <w:szCs w:val="22"/>
          <w:highlight w:val="none"/>
        </w:rPr>
        <w:t>全过程由采购管理部门全程监督</w:t>
      </w:r>
      <w:r>
        <w:rPr>
          <w:rFonts w:ascii="宋体" w:hAnsi="宋体" w:eastAsia="宋体" w:cs="Times New Roman"/>
          <w:color w:val="auto"/>
          <w:sz w:val="22"/>
          <w:szCs w:val="22"/>
          <w:highlight w:val="none"/>
        </w:rPr>
        <w:t>整个开标、评标和定标过程。</w:t>
      </w:r>
    </w:p>
    <w:p w14:paraId="2418D753">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eastAsia="宋体" w:cs="Times New Roman"/>
          <w:b/>
          <w:color w:val="auto"/>
          <w:sz w:val="22"/>
          <w:szCs w:val="22"/>
          <w:highlight w:val="none"/>
        </w:rPr>
        <w:t>响应文件递交截止、磋商程序、磋商原则和方式</w:t>
      </w:r>
    </w:p>
    <w:p w14:paraId="7098E7F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r>
        <w:rPr>
          <w:rFonts w:hint="eastAsia" w:ascii="宋体"/>
          <w:color w:val="auto"/>
          <w:sz w:val="22"/>
          <w:highlight w:val="none"/>
        </w:rPr>
        <w:t>开标准备</w:t>
      </w:r>
    </w:p>
    <w:p w14:paraId="066EA346">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60BD32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1.2若磋商供应商在规定时间内无法解密或解密失败，</w:t>
      </w:r>
      <w:r>
        <w:rPr>
          <w:rFonts w:hint="eastAsia" w:ascii="宋体" w:hAnsi="宋体"/>
          <w:color w:val="auto"/>
          <w:kern w:val="0"/>
          <w:sz w:val="22"/>
          <w:highlight w:val="none"/>
        </w:rPr>
        <w:t>投标无效。</w:t>
      </w:r>
      <w:r>
        <w:rPr>
          <w:rFonts w:hint="eastAsia" w:ascii="宋体" w:hAnsi="宋体" w:eastAsia="宋体" w:cs="Times New Roman"/>
          <w:color w:val="auto"/>
          <w:sz w:val="22"/>
          <w:szCs w:val="22"/>
          <w:highlight w:val="none"/>
        </w:rPr>
        <w:t>。</w:t>
      </w:r>
    </w:p>
    <w:p w14:paraId="1D65EB90">
      <w:pPr>
        <w:adjustRightInd w:val="0"/>
        <w:snapToGrid w:val="0"/>
        <w:spacing w:line="400" w:lineRule="exact"/>
        <w:ind w:firstLine="420"/>
        <w:rPr>
          <w:color w:val="auto"/>
          <w:highlight w:val="none"/>
        </w:rPr>
      </w:pPr>
      <w:r>
        <w:rPr>
          <w:rFonts w:hint="eastAsia" w:ascii="宋体" w:hAnsi="宋体" w:eastAsia="宋体" w:cs="Times New Roman"/>
          <w:color w:val="auto"/>
          <w:sz w:val="22"/>
          <w:szCs w:val="22"/>
          <w:highlight w:val="none"/>
        </w:rPr>
        <w:t>1.3所有二次报价询标流程，均在线上完成，请各供应商务必不要离开电脑太久，并留意手机短信。（请提前检查“政采云”内，关于‘项目采购’的岗位权限是否已勾选上。如有问题，请致电400-881-7190）。</w:t>
      </w:r>
    </w:p>
    <w:p w14:paraId="19378B0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2、电子招投标开标及评审程序</w:t>
      </w:r>
    </w:p>
    <w:p w14:paraId="4B639E4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41A37E3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2.2投标文件解密结束，开启响应文件，磋商小组对资格和商务技术响应文件进行评审；</w:t>
      </w:r>
    </w:p>
    <w:p w14:paraId="300D4AA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2.3供应商按签到的前后顺序决定磋商的顺序，就价格、服务等认为需要磋商的内容进行磋商，供应商逐家回答磋商小组的提问，响应人作出最终承诺和最终报价。</w:t>
      </w:r>
    </w:p>
    <w:p w14:paraId="371EFFD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2.4在系统上公开资格和商务技术评审结果；</w:t>
      </w:r>
    </w:p>
    <w:p w14:paraId="0C44E520">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2.5在系统上录入最终报价情况；</w:t>
      </w:r>
    </w:p>
    <w:p w14:paraId="2C5C3F1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2.6磋商小组对报价情况进行评审；</w:t>
      </w:r>
    </w:p>
    <w:p w14:paraId="14ED5C6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2.7在系统上公布评审结果。</w:t>
      </w:r>
    </w:p>
    <w:p w14:paraId="09F7FED2">
      <w:pPr>
        <w:adjustRightInd w:val="0"/>
        <w:snapToGrid w:val="0"/>
        <w:spacing w:line="400" w:lineRule="exact"/>
        <w:ind w:firstLine="42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特别说明：政采云公司如对电子化开标及评审程序有调整的，按调整后的程序操作。</w:t>
      </w:r>
    </w:p>
    <w:p w14:paraId="02D28BA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3、本次采购是根据竞争性磋商采购方式进行，各供应商第一次报价不公开。</w:t>
      </w:r>
    </w:p>
    <w:p w14:paraId="1F78D88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3.1如竞争性磋商小组认为竞争性磋商文件能够详细列明采购标的的技术、服务要求的，评审结束后，竞争性磋商小组可以直接对供应商进行打分评价。</w:t>
      </w:r>
    </w:p>
    <w:p w14:paraId="3E9C2C3A">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5D32871F">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3.3对竞争性磋商文件作出的实质性变动是竞争性磋商文件的有效组成部分，竞争性磋商小组应当及时以书面形式同时通知所有参加磋商的供应商。</w:t>
      </w:r>
    </w:p>
    <w:p w14:paraId="7862C1D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3.4供应商应当按照竞争性磋商文件的变动情况和竞争性磋商小组的要求重新提交响应文件，并由其法定代表人或授权代表签字或者加盖公章。由授权代表签字的，应当附法定代表人授权书。</w:t>
      </w:r>
    </w:p>
    <w:p w14:paraId="4CF1C6A2">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4、评审原则和方法</w:t>
      </w:r>
    </w:p>
    <w:p w14:paraId="43A19FE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4.1竞争性磋商小组负责审查响应文件是否符合竞争性磋商文件的要求，并作出评价。竞争性磋商小组认为必要时，可向供应商进行质疑。竞争性磋商小组有权决定全部或部分供应商响应文件无效。</w:t>
      </w:r>
    </w:p>
    <w:p w14:paraId="2840E45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4.2竞争性磋商小组将综合分析合格供应商的各项指标，而不是以单项指标的优劣评选出成交的供应商。</w:t>
      </w:r>
    </w:p>
    <w:p w14:paraId="4A39034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2A78ED9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4.4本次评审采用综合评分法，竞争性磋商小组根据竞争性磋商文件制定的评审办法对供应商进行评审排序，将综合得分第一名的供应商向采购单位推荐其为成交供应商。</w:t>
      </w:r>
    </w:p>
    <w:p w14:paraId="0663BFD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5、响应文件的澄清</w:t>
      </w:r>
    </w:p>
    <w:p w14:paraId="3982770F">
      <w:pPr>
        <w:adjustRightInd w:val="0"/>
        <w:snapToGrid w:val="0"/>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5.1、为有利于对响应文件的比较和评议，必要时采购单位可要求供应商对响应文件进行澄清，并作出书面答复。书面答复须有供应商授权代表签字并作为响应文件内容的一部分。</w:t>
      </w:r>
    </w:p>
    <w:p w14:paraId="350A2E00">
      <w:pPr>
        <w:adjustRightInd w:val="0"/>
        <w:snapToGrid w:val="0"/>
        <w:spacing w:line="400" w:lineRule="exact"/>
        <w:jc w:val="center"/>
        <w:outlineLvl w:val="1"/>
        <w:rPr>
          <w:rFonts w:ascii="宋体" w:hAnsi="宋体"/>
          <w:color w:val="auto"/>
          <w:sz w:val="22"/>
          <w:szCs w:val="22"/>
          <w:highlight w:val="none"/>
        </w:rPr>
      </w:pPr>
      <w:r>
        <w:rPr>
          <w:rFonts w:hint="eastAsia" w:ascii="宋体" w:hAnsi="宋体"/>
          <w:b/>
          <w:color w:val="auto"/>
          <w:sz w:val="22"/>
          <w:szCs w:val="22"/>
          <w:highlight w:val="none"/>
        </w:rPr>
        <w:t>四、评审细则</w:t>
      </w:r>
    </w:p>
    <w:p w14:paraId="647C6193">
      <w:pPr>
        <w:snapToGrid w:val="0"/>
        <w:spacing w:line="400" w:lineRule="exact"/>
        <w:ind w:firstLine="54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一） 报价评分20分  </w:t>
      </w:r>
      <w:r>
        <w:rPr>
          <w:rFonts w:ascii="宋体" w:hAnsi="宋体" w:eastAsia="宋体" w:cs="Times New Roman"/>
          <w:color w:val="auto"/>
          <w:sz w:val="22"/>
          <w:szCs w:val="22"/>
          <w:highlight w:val="none"/>
        </w:rPr>
        <w:tab/>
      </w:r>
    </w:p>
    <w:p w14:paraId="3E7D053C">
      <w:pPr>
        <w:snapToGrid w:val="0"/>
        <w:spacing w:line="400" w:lineRule="exact"/>
        <w:ind w:firstLine="54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1、满足竞争性磋商文件要求且磋商价格最低的磋商报价为磋商基准价，其价格分为满分。其他供应商的价格分统一按照下列公式计算：</w:t>
      </w:r>
    </w:p>
    <w:p w14:paraId="2FEC75B8">
      <w:pPr>
        <w:snapToGrid w:val="0"/>
        <w:spacing w:line="400" w:lineRule="exact"/>
        <w:ind w:firstLine="54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磋商报价得分</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（磋商基准价</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最后磋商报价）×20%×</w:t>
      </w:r>
      <w:r>
        <w:rPr>
          <w:rFonts w:ascii="宋体" w:hAnsi="宋体" w:eastAsia="宋体" w:cs="Times New Roman"/>
          <w:color w:val="auto"/>
          <w:sz w:val="22"/>
          <w:szCs w:val="22"/>
          <w:highlight w:val="none"/>
        </w:rPr>
        <w:t>100</w:t>
      </w:r>
    </w:p>
    <w:p w14:paraId="68EB4291">
      <w:pPr>
        <w:spacing w:line="400" w:lineRule="exact"/>
        <w:ind w:firstLine="220" w:firstLineChars="100"/>
        <w:rPr>
          <w:color w:val="auto"/>
          <w:highlight w:val="none"/>
        </w:rPr>
      </w:pPr>
      <w:r>
        <w:rPr>
          <w:rFonts w:hint="eastAsia" w:ascii="宋体" w:hAnsi="宋体" w:eastAsia="宋体" w:cs="Times New Roman"/>
          <w:color w:val="auto"/>
          <w:sz w:val="22"/>
          <w:szCs w:val="22"/>
          <w:highlight w:val="none"/>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的通知》（浙财采监〔2022〕8号）的规定：对小微企业（含监狱企业、残疾人福利性单位）投标给予10%的评标价格扣除。（说明：标价格折扣计算以元人民币为单位，保留两位小数，第三位四舍五入进位。）</w:t>
      </w:r>
    </w:p>
    <w:p w14:paraId="23A8365C">
      <w:pPr>
        <w:tabs>
          <w:tab w:val="left" w:pos="1069"/>
          <w:tab w:val="left" w:pos="2352"/>
        </w:tabs>
        <w:adjustRightInd w:val="0"/>
        <w:snapToGrid w:val="0"/>
        <w:spacing w:line="380" w:lineRule="exact"/>
        <w:ind w:firstLine="4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（二）技术资信分评分（80分）</w:t>
      </w:r>
    </w:p>
    <w:p w14:paraId="3F6CA515">
      <w:pPr>
        <w:pStyle w:val="15"/>
        <w:ind w:firstLine="440"/>
        <w:rPr>
          <w:color w:val="auto"/>
          <w:highlight w:val="none"/>
        </w:rPr>
      </w:pPr>
      <w:r>
        <w:rPr>
          <w:rFonts w:hint="eastAsia" w:ascii="宋体" w:hAnsi="宋体" w:eastAsia="宋体" w:cs="Times New Roman"/>
          <w:color w:val="auto"/>
          <w:sz w:val="22"/>
          <w:szCs w:val="22"/>
          <w:highlight w:val="none"/>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tbl>
      <w:tblPr>
        <w:tblStyle w:val="31"/>
        <w:tblW w:w="54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931"/>
        <w:gridCol w:w="7006"/>
        <w:gridCol w:w="778"/>
      </w:tblGrid>
      <w:tr w14:paraId="1B415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right w:val="single" w:color="auto" w:sz="4" w:space="0"/>
            </w:tcBorders>
            <w:noWrap w:val="0"/>
            <w:vAlign w:val="center"/>
          </w:tcPr>
          <w:p w14:paraId="56A77DCB">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评审内容</w:t>
            </w:r>
          </w:p>
        </w:tc>
        <w:tc>
          <w:tcPr>
            <w:tcW w:w="469" w:type="pct"/>
            <w:tcBorders>
              <w:left w:val="single" w:color="auto" w:sz="4" w:space="0"/>
            </w:tcBorders>
            <w:noWrap w:val="0"/>
            <w:vAlign w:val="center"/>
          </w:tcPr>
          <w:p w14:paraId="6CB229F6">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分值</w:t>
            </w:r>
          </w:p>
        </w:tc>
        <w:tc>
          <w:tcPr>
            <w:tcW w:w="3530" w:type="pct"/>
            <w:noWrap w:val="0"/>
            <w:vAlign w:val="center"/>
          </w:tcPr>
          <w:p w14:paraId="52B15296">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评分标准</w:t>
            </w:r>
          </w:p>
        </w:tc>
        <w:tc>
          <w:tcPr>
            <w:tcW w:w="392" w:type="pct"/>
            <w:noWrap w:val="0"/>
            <w:vAlign w:val="center"/>
          </w:tcPr>
          <w:p w14:paraId="1AEDB676">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得分</w:t>
            </w:r>
          </w:p>
        </w:tc>
      </w:tr>
      <w:tr w14:paraId="0474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right w:val="single" w:color="auto" w:sz="4" w:space="0"/>
            </w:tcBorders>
            <w:noWrap w:val="0"/>
            <w:vAlign w:val="center"/>
          </w:tcPr>
          <w:p w14:paraId="02418DE2">
            <w:pPr>
              <w:adjustRightInd w:val="0"/>
              <w:snapToGrid w:val="0"/>
              <w:spacing w:before="1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同类项目</w:t>
            </w:r>
          </w:p>
          <w:p w14:paraId="630317E3">
            <w:pPr>
              <w:adjustRightInd w:val="0"/>
              <w:snapToGrid w:val="0"/>
              <w:spacing w:before="1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成功案例</w:t>
            </w:r>
          </w:p>
          <w:p w14:paraId="616A9904">
            <w:pPr>
              <w:adjustRightInd w:val="0"/>
              <w:snapToGrid w:val="0"/>
              <w:spacing w:before="1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分）</w:t>
            </w:r>
          </w:p>
        </w:tc>
        <w:tc>
          <w:tcPr>
            <w:tcW w:w="469" w:type="pct"/>
            <w:tcBorders>
              <w:left w:val="single" w:color="auto" w:sz="4" w:space="0"/>
            </w:tcBorders>
            <w:noWrap w:val="0"/>
            <w:vAlign w:val="center"/>
          </w:tcPr>
          <w:p w14:paraId="76DA012A">
            <w:pPr>
              <w:widowControl/>
              <w:jc w:val="center"/>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分</w:t>
            </w:r>
          </w:p>
        </w:tc>
        <w:tc>
          <w:tcPr>
            <w:tcW w:w="3530" w:type="pct"/>
            <w:noWrap w:val="0"/>
            <w:vAlign w:val="center"/>
          </w:tcPr>
          <w:p w14:paraId="67BC72A6">
            <w:pPr>
              <w:widowControl/>
              <w:jc w:val="left"/>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投标人至今承担过类似</w:t>
            </w:r>
            <w:r>
              <w:rPr>
                <w:rFonts w:hint="eastAsia" w:ascii="Times New Roman" w:hAnsi="Times New Roman" w:eastAsia="宋体" w:cs="Times New Roman"/>
                <w:color w:val="auto"/>
                <w:szCs w:val="20"/>
                <w:highlight w:val="none"/>
                <w:lang w:val="en-US" w:eastAsia="zh-CN"/>
              </w:rPr>
              <w:t>国土</w:t>
            </w:r>
            <w:r>
              <w:rPr>
                <w:rFonts w:hint="eastAsia" w:ascii="Times New Roman" w:hAnsi="Times New Roman" w:eastAsia="宋体" w:cs="Times New Roman"/>
                <w:color w:val="auto"/>
                <w:szCs w:val="20"/>
                <w:highlight w:val="none"/>
              </w:rPr>
              <w:t>变更调查项目</w:t>
            </w: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每提供一个</w:t>
            </w:r>
            <w:r>
              <w:rPr>
                <w:rFonts w:hint="eastAsia" w:ascii="Times New Roman" w:hAnsi="Times New Roman" w:eastAsia="宋体" w:cs="Times New Roman"/>
                <w:color w:val="auto"/>
                <w:szCs w:val="20"/>
                <w:highlight w:val="none"/>
              </w:rPr>
              <w:t>得0.5分</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lang w:val="en-US" w:eastAsia="zh-CN"/>
              </w:rPr>
              <w:t>最高1分</w:t>
            </w:r>
            <w:r>
              <w:rPr>
                <w:rFonts w:hint="eastAsia" w:ascii="Times New Roman" w:hAnsi="Times New Roman" w:eastAsia="宋体" w:cs="Times New Roman"/>
                <w:color w:val="auto"/>
                <w:szCs w:val="20"/>
                <w:highlight w:val="none"/>
              </w:rPr>
              <w:t>。</w:t>
            </w:r>
          </w:p>
          <w:p w14:paraId="3762F3D0">
            <w:pPr>
              <w:adjustRightInd w:val="0"/>
              <w:snapToGrid w:val="0"/>
              <w:rPr>
                <w:rFonts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注：以联合体形式参与投标的，按牵头单位进行评审，</w:t>
            </w:r>
            <w:r>
              <w:rPr>
                <w:rFonts w:hint="eastAsia" w:ascii="宋体" w:hAnsi="宋体" w:eastAsia="宋体" w:cs="宋体"/>
                <w:b/>
                <w:color w:val="auto"/>
                <w:szCs w:val="21"/>
                <w:highlight w:val="none"/>
              </w:rPr>
              <w:t>提供合同复印件加盖公章，不提供不得分）</w:t>
            </w:r>
          </w:p>
        </w:tc>
        <w:tc>
          <w:tcPr>
            <w:tcW w:w="392" w:type="pct"/>
            <w:noWrap w:val="0"/>
            <w:vAlign w:val="center"/>
          </w:tcPr>
          <w:p w14:paraId="0FE32A83">
            <w:pPr>
              <w:adjustRightInd w:val="0"/>
              <w:snapToGrid w:val="0"/>
              <w:spacing w:before="120" w:line="360" w:lineRule="auto"/>
              <w:rPr>
                <w:rFonts w:ascii="宋体" w:hAnsi="宋体" w:eastAsia="宋体" w:cs="Times New Roman"/>
                <w:color w:val="auto"/>
                <w:kern w:val="0"/>
                <w:szCs w:val="21"/>
                <w:highlight w:val="none"/>
              </w:rPr>
            </w:pPr>
          </w:p>
        </w:tc>
      </w:tr>
      <w:tr w14:paraId="16698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607" w:type="pct"/>
            <w:vMerge w:val="restart"/>
            <w:tcBorders>
              <w:right w:val="single" w:color="auto" w:sz="4" w:space="0"/>
            </w:tcBorders>
            <w:noWrap w:val="0"/>
            <w:vAlign w:val="center"/>
          </w:tcPr>
          <w:p w14:paraId="7AA66B8E">
            <w:pPr>
              <w:widowControl w:val="0"/>
              <w:spacing w:after="120"/>
              <w:jc w:val="both"/>
              <w:rPr>
                <w:rFonts w:ascii="Times New Roman" w:hAnsi="Times New Roman" w:eastAsia="??" w:cs="Times New Roman"/>
                <w:color w:val="auto"/>
                <w:kern w:val="2"/>
                <w:sz w:val="28"/>
                <w:szCs w:val="28"/>
                <w:highlight w:val="none"/>
                <w:lang w:val="en-US" w:eastAsia="zh-CN" w:bidi="ar-SA"/>
              </w:rPr>
            </w:pPr>
            <w:r>
              <w:rPr>
                <w:rFonts w:hint="eastAsia" w:ascii="Times New Roman" w:hAnsi="Times New Roman" w:eastAsia="宋体" w:cs="Times New Roman"/>
                <w:color w:val="auto"/>
                <w:szCs w:val="20"/>
                <w:highlight w:val="none"/>
                <w:lang w:val="en-US" w:eastAsia="zh-CN"/>
              </w:rPr>
              <w:t>投标人实力</w:t>
            </w:r>
            <w:r>
              <w:rPr>
                <w:rFonts w:hint="eastAsia" w:ascii="宋体" w:hAnsi="宋体" w:eastAsia="宋体" w:cs="Times New Roman"/>
                <w:color w:val="auto"/>
                <w:kern w:val="0"/>
                <w:sz w:val="21"/>
                <w:szCs w:val="21"/>
                <w:highlight w:val="none"/>
                <w:lang w:val="en-US" w:eastAsia="zh-CN" w:bidi="ar-SA"/>
              </w:rPr>
              <w:t>（8分）</w:t>
            </w:r>
          </w:p>
        </w:tc>
        <w:tc>
          <w:tcPr>
            <w:tcW w:w="469" w:type="pct"/>
            <w:vMerge w:val="restart"/>
            <w:tcBorders>
              <w:left w:val="single" w:color="auto" w:sz="4" w:space="0"/>
            </w:tcBorders>
            <w:noWrap w:val="0"/>
            <w:vAlign w:val="center"/>
          </w:tcPr>
          <w:p w14:paraId="6B58D763">
            <w:pPr>
              <w:widowControl/>
              <w:jc w:val="center"/>
              <w:rPr>
                <w:rFonts w:ascii="宋体" w:hAnsi="宋体" w:eastAsia="宋体" w:cs="宋体"/>
                <w:color w:val="auto"/>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分</w:t>
            </w:r>
          </w:p>
        </w:tc>
        <w:tc>
          <w:tcPr>
            <w:tcW w:w="3530" w:type="pct"/>
            <w:noWrap w:val="0"/>
            <w:vAlign w:val="center"/>
          </w:tcPr>
          <w:p w14:paraId="3271EC12">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投标人具有有效期内的质量管理体系认证证书（认证范围</w:t>
            </w:r>
            <w:r>
              <w:rPr>
                <w:rFonts w:hint="eastAsia" w:ascii="宋体" w:hAnsi="宋体" w:eastAsia="宋体" w:cs="宋体"/>
                <w:color w:val="auto"/>
                <w:szCs w:val="21"/>
                <w:highlight w:val="none"/>
                <w:lang w:val="en-US" w:eastAsia="zh-CN"/>
              </w:rPr>
              <w:t>包含自然资源调查监测</w:t>
            </w:r>
            <w:r>
              <w:rPr>
                <w:rFonts w:hint="eastAsia" w:ascii="宋体" w:hAnsi="宋体" w:eastAsia="宋体" w:cs="宋体"/>
                <w:color w:val="auto"/>
                <w:szCs w:val="21"/>
                <w:highlight w:val="none"/>
              </w:rPr>
              <w:t>）、环境管理体系认证证书（认证范围</w:t>
            </w:r>
            <w:r>
              <w:rPr>
                <w:rFonts w:hint="eastAsia" w:ascii="宋体" w:hAnsi="宋体" w:eastAsia="宋体" w:cs="宋体"/>
                <w:color w:val="auto"/>
                <w:szCs w:val="21"/>
                <w:highlight w:val="none"/>
                <w:lang w:val="en-US" w:eastAsia="zh-CN"/>
              </w:rPr>
              <w:t>包含自然资源调查监测</w:t>
            </w:r>
            <w:r>
              <w:rPr>
                <w:rFonts w:hint="eastAsia" w:ascii="宋体" w:hAnsi="宋体" w:eastAsia="宋体" w:cs="宋体"/>
                <w:color w:val="auto"/>
                <w:szCs w:val="21"/>
                <w:highlight w:val="none"/>
              </w:rPr>
              <w:t>）、职业健康安全管理体系认证证书（认证范围</w:t>
            </w:r>
            <w:r>
              <w:rPr>
                <w:rFonts w:hint="eastAsia" w:ascii="宋体" w:hAnsi="宋体" w:eastAsia="宋体" w:cs="宋体"/>
                <w:color w:val="auto"/>
                <w:szCs w:val="21"/>
                <w:highlight w:val="none"/>
                <w:lang w:val="en-US" w:eastAsia="zh-CN"/>
              </w:rPr>
              <w:t>包含自然资源调查监测</w:t>
            </w:r>
            <w:r>
              <w:rPr>
                <w:rFonts w:hint="eastAsia" w:ascii="宋体" w:hAnsi="宋体" w:eastAsia="宋体" w:cs="宋体"/>
                <w:color w:val="auto"/>
                <w:szCs w:val="21"/>
                <w:highlight w:val="none"/>
              </w:rPr>
              <w:t>）、售后服务认证证书（认证范围</w:t>
            </w:r>
            <w:r>
              <w:rPr>
                <w:rFonts w:hint="eastAsia" w:ascii="宋体" w:hAnsi="宋体" w:eastAsia="宋体" w:cs="宋体"/>
                <w:color w:val="auto"/>
                <w:szCs w:val="21"/>
                <w:highlight w:val="none"/>
                <w:lang w:val="en-US" w:eastAsia="zh-CN"/>
              </w:rPr>
              <w:t>包含自然资源调查监测</w:t>
            </w:r>
            <w:r>
              <w:rPr>
                <w:rFonts w:hint="eastAsia" w:ascii="宋体" w:hAnsi="宋体" w:eastAsia="宋体" w:cs="宋体"/>
                <w:color w:val="auto"/>
                <w:szCs w:val="21"/>
                <w:highlight w:val="none"/>
              </w:rPr>
              <w:t>)，每提供一个有效证书得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13285B14">
            <w:pPr>
              <w:widowControl w:val="0"/>
              <w:spacing w:after="120"/>
              <w:ind w:left="0" w:leftChars="0" w:firstLine="0" w:firstLineChars="0"/>
              <w:jc w:val="both"/>
              <w:rPr>
                <w:rFonts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b/>
                <w:color w:val="auto"/>
                <w:kern w:val="2"/>
                <w:sz w:val="21"/>
                <w:szCs w:val="21"/>
                <w:highlight w:val="none"/>
                <w:lang w:val="en-US" w:eastAsia="zh-CN" w:bidi="ar-SA"/>
              </w:rPr>
              <w:t>注：以联合体形式参与投标的，按牵头单位进行评审，</w:t>
            </w:r>
            <w:r>
              <w:rPr>
                <w:rFonts w:hint="eastAsia" w:ascii="宋体" w:hAnsi="宋体" w:eastAsia="宋体" w:cs="宋体"/>
                <w:color w:val="auto"/>
                <w:kern w:val="2"/>
                <w:sz w:val="21"/>
                <w:szCs w:val="20"/>
                <w:highlight w:val="none"/>
                <w:lang w:val="en-US" w:eastAsia="zh-CN" w:bidi="ar-SA"/>
              </w:rPr>
              <w:t>提供相关证明材料复印件加盖公章，未提供不得分。）</w:t>
            </w:r>
          </w:p>
        </w:tc>
        <w:tc>
          <w:tcPr>
            <w:tcW w:w="392" w:type="pct"/>
            <w:noWrap w:val="0"/>
            <w:vAlign w:val="center"/>
          </w:tcPr>
          <w:p w14:paraId="5AD8A450">
            <w:pPr>
              <w:adjustRightInd w:val="0"/>
              <w:snapToGrid w:val="0"/>
              <w:spacing w:before="120" w:line="360" w:lineRule="auto"/>
              <w:rPr>
                <w:rFonts w:ascii="宋体" w:hAnsi="宋体" w:eastAsia="宋体" w:cs="Times New Roman"/>
                <w:color w:val="auto"/>
                <w:kern w:val="0"/>
                <w:szCs w:val="21"/>
                <w:highlight w:val="none"/>
              </w:rPr>
            </w:pPr>
          </w:p>
        </w:tc>
      </w:tr>
      <w:tr w14:paraId="1F79F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607" w:type="pct"/>
            <w:vMerge w:val="continue"/>
            <w:tcBorders>
              <w:right w:val="single" w:color="auto" w:sz="4" w:space="0"/>
            </w:tcBorders>
            <w:noWrap w:val="0"/>
            <w:vAlign w:val="center"/>
          </w:tcPr>
          <w:p w14:paraId="091BE5E2">
            <w:pPr>
              <w:widowControl w:val="0"/>
              <w:spacing w:after="120"/>
              <w:jc w:val="both"/>
              <w:rPr>
                <w:rFonts w:hint="eastAsia" w:ascii="Times New Roman" w:hAnsi="Times New Roman" w:eastAsia="宋体" w:cs="Times New Roman"/>
                <w:color w:val="auto"/>
                <w:szCs w:val="20"/>
                <w:highlight w:val="none"/>
                <w:lang w:val="en-US" w:eastAsia="zh-CN"/>
              </w:rPr>
            </w:pPr>
          </w:p>
        </w:tc>
        <w:tc>
          <w:tcPr>
            <w:tcW w:w="469" w:type="pct"/>
            <w:vMerge w:val="continue"/>
            <w:tcBorders>
              <w:left w:val="single" w:color="auto" w:sz="4" w:space="0"/>
            </w:tcBorders>
            <w:noWrap w:val="0"/>
            <w:vAlign w:val="center"/>
          </w:tcPr>
          <w:p w14:paraId="30A6F8A6">
            <w:pPr>
              <w:widowControl/>
              <w:jc w:val="center"/>
              <w:rPr>
                <w:rFonts w:hint="eastAsia" w:ascii="宋体" w:hAnsi="宋体" w:eastAsia="宋体" w:cs="Times New Roman"/>
                <w:color w:val="auto"/>
                <w:kern w:val="0"/>
                <w:szCs w:val="21"/>
                <w:highlight w:val="none"/>
                <w:lang w:val="en-US" w:eastAsia="zh-CN"/>
              </w:rPr>
            </w:pPr>
          </w:p>
        </w:tc>
        <w:tc>
          <w:tcPr>
            <w:tcW w:w="3530" w:type="pct"/>
            <w:noWrap w:val="0"/>
            <w:vAlign w:val="center"/>
          </w:tcPr>
          <w:p w14:paraId="46CB4092">
            <w:pPr>
              <w:adjustRightInd w:val="0"/>
              <w:snapToGrid w:val="0"/>
              <w:rPr>
                <w:rFonts w:hint="eastAsia" w:ascii="宋体" w:hAnsi="宋体" w:eastAsia="宋体" w:cs="宋体"/>
                <w:color w:val="auto"/>
                <w:szCs w:val="20"/>
                <w:highlight w:val="none"/>
              </w:rPr>
            </w:pPr>
            <w:r>
              <w:rPr>
                <w:rFonts w:hint="eastAsia" w:ascii="宋体" w:hAnsi="宋体" w:eastAsia="宋体" w:cs="宋体"/>
                <w:color w:val="auto"/>
                <w:szCs w:val="20"/>
                <w:highlight w:val="none"/>
              </w:rPr>
              <w:t>投标人具有有效期内CMA检验检测机构资质（需同时含有:遥感数据获取、摄影测量、地图编制、地理信息数据库）认定证书的得</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rPr>
              <w:t>分。</w:t>
            </w:r>
          </w:p>
          <w:p w14:paraId="3B12BE57">
            <w:pPr>
              <w:adjustRightInd w:val="0"/>
              <w:snapToGrid w:val="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b/>
                <w:color w:val="auto"/>
                <w:szCs w:val="21"/>
                <w:highlight w:val="none"/>
                <w:lang w:val="en-US" w:eastAsia="zh-CN"/>
              </w:rPr>
              <w:t>注：以联合体形式参与投标的，按牵头单位进行评审，</w:t>
            </w:r>
            <w:r>
              <w:rPr>
                <w:rFonts w:hint="eastAsia" w:ascii="宋体" w:hAnsi="宋体" w:eastAsia="宋体" w:cs="宋体"/>
                <w:color w:val="auto"/>
                <w:szCs w:val="20"/>
                <w:highlight w:val="none"/>
              </w:rPr>
              <w:t>提供相关证明材料复印件加盖公章，未提供不得分。）</w:t>
            </w:r>
          </w:p>
        </w:tc>
        <w:tc>
          <w:tcPr>
            <w:tcW w:w="392" w:type="pct"/>
            <w:noWrap w:val="0"/>
            <w:vAlign w:val="center"/>
          </w:tcPr>
          <w:p w14:paraId="1A1D7CFA">
            <w:pPr>
              <w:adjustRightInd w:val="0"/>
              <w:snapToGrid w:val="0"/>
              <w:spacing w:before="120" w:line="360" w:lineRule="auto"/>
              <w:rPr>
                <w:rFonts w:ascii="宋体" w:hAnsi="宋体" w:eastAsia="宋体" w:cs="Times New Roman"/>
                <w:color w:val="auto"/>
                <w:kern w:val="0"/>
                <w:szCs w:val="21"/>
                <w:highlight w:val="none"/>
              </w:rPr>
            </w:pPr>
          </w:p>
        </w:tc>
      </w:tr>
      <w:tr w14:paraId="37A1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607" w:type="pct"/>
            <w:vMerge w:val="continue"/>
            <w:tcBorders>
              <w:right w:val="single" w:color="auto" w:sz="4" w:space="0"/>
            </w:tcBorders>
            <w:noWrap w:val="0"/>
            <w:vAlign w:val="center"/>
          </w:tcPr>
          <w:p w14:paraId="7EF98957">
            <w:pPr>
              <w:widowControl w:val="0"/>
              <w:spacing w:after="120"/>
              <w:jc w:val="both"/>
              <w:rPr>
                <w:rFonts w:hint="eastAsia" w:ascii="Times New Roman" w:hAnsi="Times New Roman" w:eastAsia="宋体" w:cs="Times New Roman"/>
                <w:color w:val="auto"/>
                <w:szCs w:val="20"/>
                <w:highlight w:val="none"/>
                <w:lang w:val="en-US" w:eastAsia="zh-CN"/>
              </w:rPr>
            </w:pPr>
          </w:p>
        </w:tc>
        <w:tc>
          <w:tcPr>
            <w:tcW w:w="469" w:type="pct"/>
            <w:vMerge w:val="continue"/>
            <w:tcBorders>
              <w:left w:val="single" w:color="auto" w:sz="4" w:space="0"/>
            </w:tcBorders>
            <w:noWrap w:val="0"/>
            <w:vAlign w:val="center"/>
          </w:tcPr>
          <w:p w14:paraId="1A18B851">
            <w:pPr>
              <w:widowControl/>
              <w:jc w:val="center"/>
              <w:rPr>
                <w:rFonts w:hint="eastAsia" w:ascii="宋体" w:hAnsi="宋体" w:eastAsia="宋体" w:cs="Times New Roman"/>
                <w:color w:val="auto"/>
                <w:kern w:val="0"/>
                <w:szCs w:val="21"/>
                <w:highlight w:val="none"/>
                <w:lang w:val="en-US" w:eastAsia="zh-CN"/>
              </w:rPr>
            </w:pPr>
          </w:p>
        </w:tc>
        <w:tc>
          <w:tcPr>
            <w:tcW w:w="3530" w:type="pct"/>
            <w:noWrap w:val="0"/>
            <w:vAlign w:val="center"/>
          </w:tcPr>
          <w:p w14:paraId="7E4354C7">
            <w:pPr>
              <w:adjustRightInd w:val="0"/>
              <w:snapToGrid w:val="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lang w:val="en-US" w:eastAsia="zh-CN"/>
              </w:rPr>
              <w:t>投标人承接的测绘地理信息领域项目，</w:t>
            </w:r>
            <w:r>
              <w:rPr>
                <w:rFonts w:hint="eastAsia" w:ascii="宋体" w:hAnsi="宋体" w:eastAsia="宋体" w:cs="宋体"/>
                <w:color w:val="auto"/>
                <w:szCs w:val="20"/>
                <w:highlight w:val="none"/>
                <w:lang w:eastAsia="zh-CN"/>
              </w:rPr>
              <w:t>获得过省级及以上科学技术进步奖(不含学会、协会)的每项得1分，获得过市级科学技术进步奖(不含学会、协会)的每项得0.5分，本项最高得</w:t>
            </w: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lang w:eastAsia="zh-CN"/>
              </w:rPr>
              <w:t>分。</w:t>
            </w:r>
          </w:p>
          <w:p w14:paraId="0AE52F6B">
            <w:pPr>
              <w:adjustRightInd w:val="0"/>
              <w:snapToGrid w:val="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b/>
                <w:color w:val="auto"/>
                <w:szCs w:val="21"/>
                <w:highlight w:val="none"/>
                <w:lang w:val="en-US" w:eastAsia="zh-CN"/>
              </w:rPr>
              <w:t>注：以联合体形式参与投标的，按牵头单位进行评审，</w:t>
            </w:r>
            <w:r>
              <w:rPr>
                <w:rFonts w:hint="eastAsia" w:ascii="宋体" w:hAnsi="宋体" w:eastAsia="宋体" w:cs="宋体"/>
                <w:color w:val="auto"/>
                <w:szCs w:val="20"/>
                <w:highlight w:val="none"/>
              </w:rPr>
              <w:t>提供相关证明材料复印件加盖公章，未提供不得分。）</w:t>
            </w:r>
          </w:p>
        </w:tc>
        <w:tc>
          <w:tcPr>
            <w:tcW w:w="392" w:type="pct"/>
            <w:noWrap w:val="0"/>
            <w:vAlign w:val="center"/>
          </w:tcPr>
          <w:p w14:paraId="3D776174">
            <w:pPr>
              <w:adjustRightInd w:val="0"/>
              <w:snapToGrid w:val="0"/>
              <w:spacing w:before="120" w:line="360" w:lineRule="auto"/>
              <w:rPr>
                <w:rFonts w:ascii="宋体" w:hAnsi="宋体" w:eastAsia="宋体" w:cs="Times New Roman"/>
                <w:color w:val="auto"/>
                <w:kern w:val="0"/>
                <w:szCs w:val="21"/>
                <w:highlight w:val="none"/>
              </w:rPr>
            </w:pPr>
          </w:p>
        </w:tc>
      </w:tr>
      <w:tr w14:paraId="7284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607" w:type="pct"/>
            <w:vMerge w:val="continue"/>
            <w:tcBorders>
              <w:right w:val="single" w:color="auto" w:sz="4" w:space="0"/>
            </w:tcBorders>
            <w:noWrap w:val="0"/>
            <w:vAlign w:val="center"/>
          </w:tcPr>
          <w:p w14:paraId="3CFE1BA1">
            <w:pPr>
              <w:widowControl w:val="0"/>
              <w:spacing w:after="120"/>
              <w:jc w:val="both"/>
              <w:rPr>
                <w:rFonts w:hint="eastAsia" w:ascii="Times New Roman" w:hAnsi="Times New Roman" w:eastAsia="宋体" w:cs="Times New Roman"/>
                <w:color w:val="auto"/>
                <w:szCs w:val="20"/>
                <w:highlight w:val="none"/>
                <w:lang w:val="en-US" w:eastAsia="zh-CN"/>
              </w:rPr>
            </w:pPr>
          </w:p>
        </w:tc>
        <w:tc>
          <w:tcPr>
            <w:tcW w:w="469" w:type="pct"/>
            <w:vMerge w:val="continue"/>
            <w:tcBorders>
              <w:left w:val="single" w:color="auto" w:sz="4" w:space="0"/>
            </w:tcBorders>
            <w:noWrap w:val="0"/>
            <w:vAlign w:val="center"/>
          </w:tcPr>
          <w:p w14:paraId="2AB93CFD">
            <w:pPr>
              <w:widowControl/>
              <w:jc w:val="center"/>
              <w:rPr>
                <w:rFonts w:hint="eastAsia" w:ascii="宋体" w:hAnsi="宋体" w:eastAsia="宋体" w:cs="Times New Roman"/>
                <w:color w:val="auto"/>
                <w:kern w:val="0"/>
                <w:szCs w:val="21"/>
                <w:highlight w:val="none"/>
                <w:lang w:val="en-US" w:eastAsia="zh-CN"/>
              </w:rPr>
            </w:pPr>
          </w:p>
        </w:tc>
        <w:tc>
          <w:tcPr>
            <w:tcW w:w="3530" w:type="pct"/>
            <w:noWrap w:val="0"/>
            <w:vAlign w:val="center"/>
          </w:tcPr>
          <w:p w14:paraId="1EA8345C">
            <w:pPr>
              <w:adjustRightInd w:val="0"/>
              <w:snapToGrid w:val="0"/>
              <w:rPr>
                <w:rFonts w:hint="eastAsia" w:ascii="宋体" w:hAnsi="宋体" w:eastAsia="宋体" w:cs="宋体"/>
                <w:color w:val="auto"/>
                <w:szCs w:val="20"/>
                <w:highlight w:val="none"/>
              </w:rPr>
            </w:pPr>
            <w:r>
              <w:rPr>
                <w:rFonts w:hint="eastAsia" w:ascii="宋体" w:hAnsi="宋体" w:eastAsia="宋体" w:cs="宋体"/>
                <w:color w:val="auto"/>
                <w:sz w:val="22"/>
                <w:szCs w:val="22"/>
                <w:highlight w:val="none"/>
                <w:lang w:eastAsia="zh-CN"/>
              </w:rPr>
              <w:t>投标人主持编制过测绘与地理信息类国家标准的得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分，主持编制过省级标准的得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lang w:eastAsia="zh-CN"/>
              </w:rPr>
              <w:t>分，本项</w:t>
            </w:r>
            <w:r>
              <w:rPr>
                <w:rFonts w:hint="eastAsia" w:ascii="宋体" w:hAnsi="宋体" w:eastAsia="宋体" w:cs="宋体"/>
                <w:color w:val="auto"/>
                <w:sz w:val="22"/>
                <w:szCs w:val="22"/>
                <w:highlight w:val="none"/>
                <w:lang w:val="en-US" w:eastAsia="zh-CN"/>
              </w:rPr>
              <w:t>最高得1</w:t>
            </w:r>
            <w:r>
              <w:rPr>
                <w:rFonts w:hint="eastAsia" w:ascii="宋体" w:hAnsi="宋体" w:eastAsia="宋体" w:cs="宋体"/>
                <w:color w:val="auto"/>
                <w:sz w:val="22"/>
                <w:szCs w:val="22"/>
                <w:highlight w:val="none"/>
                <w:lang w:eastAsia="zh-CN"/>
              </w:rPr>
              <w:t>分。</w:t>
            </w:r>
          </w:p>
          <w:p w14:paraId="6BCD3DF4">
            <w:pPr>
              <w:adjustRightInd w:val="0"/>
              <w:snapToGrid w:val="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r>
              <w:rPr>
                <w:rFonts w:hint="eastAsia" w:ascii="宋体" w:hAnsi="宋体" w:eastAsia="宋体" w:cs="宋体"/>
                <w:b/>
                <w:color w:val="auto"/>
                <w:szCs w:val="21"/>
                <w:highlight w:val="none"/>
                <w:lang w:val="en-US" w:eastAsia="zh-CN"/>
              </w:rPr>
              <w:t>注：以联合体形式参与投标的，按牵头单位进行评审，</w:t>
            </w:r>
            <w:r>
              <w:rPr>
                <w:rFonts w:hint="eastAsia" w:ascii="宋体" w:hAnsi="宋体" w:eastAsia="宋体" w:cs="宋体"/>
                <w:color w:val="auto"/>
                <w:szCs w:val="20"/>
                <w:highlight w:val="none"/>
              </w:rPr>
              <w:t>提供相关证明材料复印件加盖公章，未提供不得分。）</w:t>
            </w:r>
          </w:p>
        </w:tc>
        <w:tc>
          <w:tcPr>
            <w:tcW w:w="392" w:type="pct"/>
            <w:noWrap w:val="0"/>
            <w:vAlign w:val="center"/>
          </w:tcPr>
          <w:p w14:paraId="268A6EA2">
            <w:pPr>
              <w:adjustRightInd w:val="0"/>
              <w:snapToGrid w:val="0"/>
              <w:spacing w:before="120" w:line="360" w:lineRule="auto"/>
              <w:rPr>
                <w:rFonts w:ascii="宋体" w:hAnsi="宋体" w:eastAsia="宋体" w:cs="Times New Roman"/>
                <w:color w:val="auto"/>
                <w:kern w:val="0"/>
                <w:szCs w:val="21"/>
                <w:highlight w:val="none"/>
              </w:rPr>
            </w:pPr>
          </w:p>
        </w:tc>
      </w:tr>
      <w:tr w14:paraId="7CF47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607" w:type="pct"/>
            <w:vMerge w:val="continue"/>
            <w:tcBorders>
              <w:right w:val="single" w:color="auto" w:sz="4" w:space="0"/>
            </w:tcBorders>
            <w:noWrap w:val="0"/>
            <w:vAlign w:val="center"/>
          </w:tcPr>
          <w:p w14:paraId="57E9933A">
            <w:pPr>
              <w:widowControl w:val="0"/>
              <w:spacing w:after="120"/>
              <w:jc w:val="both"/>
              <w:rPr>
                <w:rFonts w:hint="eastAsia" w:ascii="Times New Roman" w:hAnsi="Times New Roman" w:eastAsia="宋体" w:cs="Times New Roman"/>
                <w:color w:val="auto"/>
                <w:szCs w:val="20"/>
                <w:highlight w:val="none"/>
                <w:lang w:val="en-US" w:eastAsia="zh-CN"/>
              </w:rPr>
            </w:pPr>
          </w:p>
        </w:tc>
        <w:tc>
          <w:tcPr>
            <w:tcW w:w="469" w:type="pct"/>
            <w:vMerge w:val="continue"/>
            <w:tcBorders>
              <w:left w:val="single" w:color="auto" w:sz="4" w:space="0"/>
            </w:tcBorders>
            <w:noWrap w:val="0"/>
            <w:vAlign w:val="center"/>
          </w:tcPr>
          <w:p w14:paraId="24EA816B">
            <w:pPr>
              <w:widowControl/>
              <w:jc w:val="center"/>
              <w:rPr>
                <w:rFonts w:hint="eastAsia" w:ascii="宋体" w:hAnsi="宋体" w:eastAsia="宋体" w:cs="Times New Roman"/>
                <w:color w:val="auto"/>
                <w:kern w:val="0"/>
                <w:szCs w:val="21"/>
                <w:highlight w:val="none"/>
                <w:lang w:val="en-US" w:eastAsia="zh-CN"/>
              </w:rPr>
            </w:pPr>
          </w:p>
        </w:tc>
        <w:tc>
          <w:tcPr>
            <w:tcW w:w="3530" w:type="pct"/>
            <w:noWrap w:val="0"/>
            <w:vAlign w:val="center"/>
          </w:tcPr>
          <w:p w14:paraId="3F962970">
            <w:pPr>
              <w:adjustRightInd w:val="0"/>
              <w:snapToGrid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投标人被省级及以上政府行政主管部门列为技术支撑单位的得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w:t>
            </w:r>
            <w:r>
              <w:rPr>
                <w:rFonts w:hint="eastAsia" w:ascii="宋体" w:hAnsi="宋体" w:eastAsia="宋体" w:cs="宋体"/>
                <w:color w:val="auto"/>
                <w:sz w:val="22"/>
                <w:szCs w:val="22"/>
                <w:highlight w:val="none"/>
                <w:lang w:val="en-US" w:eastAsia="zh-CN"/>
              </w:rPr>
              <w:t>被市级</w:t>
            </w:r>
            <w:r>
              <w:rPr>
                <w:rFonts w:hint="eastAsia" w:ascii="宋体" w:hAnsi="宋体" w:eastAsia="宋体" w:cs="宋体"/>
                <w:color w:val="auto"/>
                <w:sz w:val="22"/>
                <w:szCs w:val="22"/>
                <w:highlight w:val="none"/>
                <w:lang w:eastAsia="zh-CN"/>
              </w:rPr>
              <w:t>政府行政主管部门列为技术支撑单位的</w:t>
            </w:r>
            <w:r>
              <w:rPr>
                <w:rFonts w:hint="eastAsia" w:ascii="宋体" w:hAnsi="宋体" w:eastAsia="宋体" w:cs="宋体"/>
                <w:color w:val="auto"/>
                <w:sz w:val="22"/>
                <w:szCs w:val="22"/>
                <w:highlight w:val="none"/>
                <w:lang w:val="en-US" w:eastAsia="zh-CN"/>
              </w:rPr>
              <w:t>得0.5分，本项最高得</w:t>
            </w:r>
            <w:r>
              <w:rPr>
                <w:rFonts w:hint="eastAsia" w:ascii="宋体" w:hAnsi="宋体" w:eastAsia="宋体" w:cs="宋体"/>
                <w:color w:val="auto"/>
                <w:sz w:val="22"/>
                <w:szCs w:val="22"/>
                <w:highlight w:val="none"/>
                <w:lang w:eastAsia="zh-CN"/>
              </w:rPr>
              <w:t>1分。</w:t>
            </w:r>
          </w:p>
          <w:p w14:paraId="3FD9B97D">
            <w:pPr>
              <w:widowControl w:val="0"/>
              <w:spacing w:after="120"/>
              <w:jc w:val="both"/>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b/>
                <w:bCs/>
                <w:color w:val="auto"/>
                <w:kern w:val="2"/>
                <w:sz w:val="21"/>
                <w:szCs w:val="20"/>
                <w:highlight w:val="none"/>
                <w:lang w:val="en-US" w:eastAsia="zh-CN" w:bidi="ar-SA"/>
              </w:rPr>
              <w:t>注：以联合体形式参与投标的，按牵头单位进行评审，</w:t>
            </w:r>
            <w:r>
              <w:rPr>
                <w:rFonts w:hint="eastAsia" w:ascii="宋体" w:hAnsi="宋体" w:eastAsia="宋体" w:cs="宋体"/>
                <w:color w:val="auto"/>
                <w:kern w:val="2"/>
                <w:sz w:val="21"/>
                <w:szCs w:val="20"/>
                <w:highlight w:val="none"/>
                <w:lang w:val="en-US" w:eastAsia="zh-CN" w:bidi="ar-SA"/>
              </w:rPr>
              <w:t>提供相关证明材料复印件加盖公章，未提供不得分。）</w:t>
            </w:r>
          </w:p>
        </w:tc>
        <w:tc>
          <w:tcPr>
            <w:tcW w:w="392" w:type="pct"/>
            <w:noWrap w:val="0"/>
            <w:vAlign w:val="center"/>
          </w:tcPr>
          <w:p w14:paraId="0CE16F66">
            <w:pPr>
              <w:adjustRightInd w:val="0"/>
              <w:snapToGrid w:val="0"/>
              <w:spacing w:before="120" w:line="360" w:lineRule="auto"/>
              <w:rPr>
                <w:rFonts w:ascii="宋体" w:hAnsi="宋体" w:eastAsia="宋体" w:cs="Times New Roman"/>
                <w:color w:val="auto"/>
                <w:kern w:val="0"/>
                <w:szCs w:val="21"/>
                <w:highlight w:val="none"/>
              </w:rPr>
            </w:pPr>
          </w:p>
        </w:tc>
      </w:tr>
      <w:tr w14:paraId="618E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vMerge w:val="restart"/>
            <w:tcBorders>
              <w:right w:val="single" w:color="auto" w:sz="4" w:space="0"/>
            </w:tcBorders>
            <w:noWrap w:val="0"/>
            <w:vAlign w:val="center"/>
          </w:tcPr>
          <w:p w14:paraId="687EE1C7">
            <w:pPr>
              <w:adjustRightInd w:val="0"/>
              <w:snapToGrid w:val="0"/>
              <w:spacing w:before="120"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人员配置</w:t>
            </w:r>
          </w:p>
          <w:p w14:paraId="775B9D1F">
            <w:pPr>
              <w:widowControl w:val="0"/>
              <w:jc w:val="both"/>
              <w:rPr>
                <w:rFonts w:ascii="Times New Roman" w:hAnsi="Times New Roman" w:eastAsia="宋体" w:cs="Times New Roman"/>
                <w:color w:val="auto"/>
                <w:kern w:val="2"/>
                <w:sz w:val="18"/>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（16分）</w:t>
            </w:r>
          </w:p>
        </w:tc>
        <w:tc>
          <w:tcPr>
            <w:tcW w:w="469" w:type="pct"/>
            <w:tcBorders>
              <w:left w:val="single" w:color="auto" w:sz="4" w:space="0"/>
            </w:tcBorders>
            <w:noWrap w:val="0"/>
            <w:vAlign w:val="center"/>
          </w:tcPr>
          <w:p w14:paraId="6914100C">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分</w:t>
            </w:r>
          </w:p>
        </w:tc>
        <w:tc>
          <w:tcPr>
            <w:tcW w:w="3530" w:type="pct"/>
            <w:tcBorders>
              <w:top w:val="single" w:color="000000" w:sz="4" w:space="0"/>
              <w:left w:val="single" w:color="000000" w:sz="4" w:space="0"/>
              <w:bottom w:val="single" w:color="000000" w:sz="4" w:space="0"/>
              <w:right w:val="single" w:color="000000" w:sz="4" w:space="0"/>
            </w:tcBorders>
            <w:noWrap w:val="0"/>
            <w:vAlign w:val="center"/>
          </w:tcPr>
          <w:p w14:paraId="0238F273">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项目总负责人具有教授级高级测绘工程师职称，且同时具有第三次全国土地调查业务培训合格证书和</w:t>
            </w:r>
            <w:r>
              <w:rPr>
                <w:rFonts w:hint="eastAsia" w:ascii="宋体" w:hAnsi="宋体" w:eastAsia="宋体" w:cs="宋体"/>
                <w:snapToGrid w:val="0"/>
                <w:color w:val="auto"/>
                <w:sz w:val="21"/>
                <w:szCs w:val="21"/>
                <w:highlight w:val="none"/>
                <w:shd w:val="clear" w:color="auto" w:fill="auto"/>
                <w:lang w:val="zh-CN" w:eastAsia="zh-CN" w:bidi="ar-SA"/>
              </w:rPr>
              <w:t>自然资源调查监测项目管理师培训证书</w:t>
            </w:r>
            <w:r>
              <w:rPr>
                <w:rFonts w:hint="eastAsia" w:ascii="宋体" w:hAnsi="宋体" w:eastAsia="宋体" w:cs="宋体"/>
                <w:bCs/>
                <w:color w:val="auto"/>
                <w:spacing w:val="4"/>
                <w:kern w:val="2"/>
                <w:sz w:val="21"/>
                <w:szCs w:val="21"/>
                <w:highlight w:val="none"/>
                <w:lang w:val="en-US" w:eastAsia="zh-CN" w:bidi="ar-SA"/>
              </w:rPr>
              <w:t>得5分；具有高级测绘工程师职称，且同时具有第三次全国土地调查业务培训合格证书或</w:t>
            </w:r>
            <w:r>
              <w:rPr>
                <w:rFonts w:hint="eastAsia" w:ascii="宋体" w:hAnsi="宋体" w:eastAsia="宋体" w:cs="宋体"/>
                <w:snapToGrid w:val="0"/>
                <w:color w:val="auto"/>
                <w:sz w:val="21"/>
                <w:szCs w:val="21"/>
                <w:highlight w:val="none"/>
                <w:shd w:val="clear" w:color="auto" w:fill="auto"/>
                <w:lang w:val="zh-CN" w:eastAsia="zh-CN" w:bidi="ar-SA"/>
              </w:rPr>
              <w:t>自然资源调查监测项目管理师培训证书</w:t>
            </w:r>
            <w:r>
              <w:rPr>
                <w:rFonts w:hint="eastAsia" w:ascii="宋体" w:hAnsi="宋体" w:eastAsia="宋体" w:cs="宋体"/>
                <w:bCs/>
                <w:color w:val="auto"/>
                <w:spacing w:val="4"/>
                <w:kern w:val="2"/>
                <w:sz w:val="21"/>
                <w:szCs w:val="21"/>
                <w:highlight w:val="none"/>
                <w:lang w:val="en-US" w:eastAsia="zh-CN" w:bidi="ar-SA"/>
              </w:rPr>
              <w:t>得3分。最高得5分。</w:t>
            </w:r>
          </w:p>
          <w:p w14:paraId="6A9B03FC">
            <w:pPr>
              <w:widowControl w:val="0"/>
              <w:adjustRightInd w:val="0"/>
              <w:snapToGrid w:val="0"/>
              <w:jc w:val="both"/>
              <w:rPr>
                <w:rFonts w:ascii="宋体" w:hAnsi="宋体" w:eastAsia="宋体" w:cs="Arial"/>
                <w:b/>
                <w:bCs/>
                <w:color w:val="auto"/>
                <w:kern w:val="2"/>
                <w:sz w:val="21"/>
                <w:szCs w:val="21"/>
                <w:highlight w:val="none"/>
                <w:lang w:val="en-US" w:eastAsia="zh-CN" w:bidi="ar-SA"/>
              </w:rPr>
            </w:pPr>
            <w:r>
              <w:rPr>
                <w:rFonts w:hint="eastAsia" w:ascii="宋体" w:hAnsi="宋体" w:eastAsia="宋体" w:cs="Arial"/>
                <w:b/>
                <w:bCs/>
                <w:color w:val="auto"/>
                <w:kern w:val="2"/>
                <w:sz w:val="21"/>
                <w:szCs w:val="21"/>
                <w:highlight w:val="none"/>
                <w:lang w:val="en-US" w:eastAsia="zh-CN" w:bidi="ar-SA"/>
              </w:rPr>
              <w:t>（注：以联合体形式参与投标的，按牵头单位进行评审，提供相关证书及开标前三个月任意一个月的社保证明复印件加盖公章）</w:t>
            </w:r>
          </w:p>
        </w:tc>
        <w:tc>
          <w:tcPr>
            <w:tcW w:w="392" w:type="pct"/>
            <w:noWrap w:val="0"/>
            <w:vAlign w:val="center"/>
          </w:tcPr>
          <w:p w14:paraId="77707F7A">
            <w:pPr>
              <w:adjustRightInd w:val="0"/>
              <w:snapToGrid w:val="0"/>
              <w:spacing w:before="120" w:line="360" w:lineRule="auto"/>
              <w:rPr>
                <w:rFonts w:ascii="宋体" w:hAnsi="宋体" w:eastAsia="宋体" w:cs="Times New Roman"/>
                <w:color w:val="auto"/>
                <w:kern w:val="0"/>
                <w:szCs w:val="21"/>
                <w:highlight w:val="none"/>
              </w:rPr>
            </w:pPr>
          </w:p>
        </w:tc>
      </w:tr>
      <w:tr w14:paraId="65C9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vMerge w:val="continue"/>
            <w:tcBorders>
              <w:right w:val="single" w:color="auto" w:sz="4" w:space="0"/>
            </w:tcBorders>
            <w:noWrap w:val="0"/>
            <w:vAlign w:val="center"/>
          </w:tcPr>
          <w:p w14:paraId="5B7EF106">
            <w:pPr>
              <w:adjustRightInd w:val="0"/>
              <w:snapToGrid w:val="0"/>
              <w:spacing w:before="120" w:line="360" w:lineRule="auto"/>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5F0E2DE3">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分</w:t>
            </w:r>
          </w:p>
        </w:tc>
        <w:tc>
          <w:tcPr>
            <w:tcW w:w="3530" w:type="pct"/>
            <w:tcBorders>
              <w:top w:val="single" w:color="000000" w:sz="4" w:space="0"/>
              <w:left w:val="single" w:color="000000" w:sz="4" w:space="0"/>
              <w:bottom w:val="single" w:color="000000" w:sz="4" w:space="0"/>
              <w:right w:val="single" w:color="000000" w:sz="4" w:space="0"/>
            </w:tcBorders>
            <w:noWrap w:val="0"/>
            <w:vAlign w:val="center"/>
          </w:tcPr>
          <w:p w14:paraId="78058D9E">
            <w:pPr>
              <w:widowControl w:val="0"/>
              <w:adjustRightInd w:val="0"/>
              <w:snapToGrid w:val="0"/>
              <w:jc w:val="both"/>
              <w:rPr>
                <w:rFonts w:ascii="宋体" w:hAnsi="宋体" w:eastAsia="宋体" w:cs="Arial"/>
                <w:bCs/>
                <w:color w:val="auto"/>
                <w:kern w:val="2"/>
                <w:sz w:val="18"/>
                <w:szCs w:val="18"/>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项目质量负责人具有高级测绘工程师且具有</w:t>
            </w:r>
            <w:r>
              <w:rPr>
                <w:rFonts w:hint="eastAsia" w:ascii="宋体" w:hAnsi="宋体" w:eastAsia="宋体" w:cs="Times New Roman"/>
                <w:color w:val="auto"/>
                <w:highlight w:val="none"/>
              </w:rPr>
              <w:t>省级及以上质量评定部门颁发的质量检验检测证书</w:t>
            </w:r>
            <w:r>
              <w:rPr>
                <w:rFonts w:hint="eastAsia" w:ascii="宋体" w:hAnsi="宋体" w:eastAsia="宋体" w:cs="宋体"/>
                <w:bCs/>
                <w:color w:val="auto"/>
                <w:spacing w:val="4"/>
                <w:kern w:val="2"/>
                <w:sz w:val="21"/>
                <w:szCs w:val="21"/>
                <w:highlight w:val="none"/>
                <w:lang w:val="en-US" w:eastAsia="zh-CN" w:bidi="ar-SA"/>
              </w:rPr>
              <w:t>得3分；只具有高级测绘工程师得1分，最高得3分。</w:t>
            </w:r>
            <w:r>
              <w:rPr>
                <w:rFonts w:hint="eastAsia" w:ascii="宋体" w:hAnsi="宋体" w:eastAsia="宋体" w:cs="Arial"/>
                <w:b/>
                <w:bCs/>
                <w:color w:val="auto"/>
                <w:kern w:val="2"/>
                <w:sz w:val="21"/>
                <w:szCs w:val="21"/>
                <w:highlight w:val="none"/>
                <w:lang w:val="en-US" w:eastAsia="zh-CN" w:bidi="ar-SA"/>
              </w:rPr>
              <w:t>（注：以联合体形式参与投标的，按牵头单位进行评审，提供相关证书及开标前三个月任意一个月的社保证明复印件加盖公章）</w:t>
            </w:r>
          </w:p>
        </w:tc>
        <w:tc>
          <w:tcPr>
            <w:tcW w:w="392" w:type="pct"/>
            <w:noWrap w:val="0"/>
            <w:vAlign w:val="center"/>
          </w:tcPr>
          <w:p w14:paraId="590492BD">
            <w:pPr>
              <w:adjustRightInd w:val="0"/>
              <w:snapToGrid w:val="0"/>
              <w:spacing w:before="120" w:line="360" w:lineRule="auto"/>
              <w:rPr>
                <w:rFonts w:ascii="宋体" w:hAnsi="宋体" w:eastAsia="宋体" w:cs="Times New Roman"/>
                <w:color w:val="auto"/>
                <w:kern w:val="0"/>
                <w:szCs w:val="21"/>
                <w:highlight w:val="none"/>
              </w:rPr>
            </w:pPr>
          </w:p>
        </w:tc>
      </w:tr>
      <w:tr w14:paraId="7F8A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vMerge w:val="continue"/>
            <w:tcBorders>
              <w:right w:val="single" w:color="auto" w:sz="4" w:space="0"/>
            </w:tcBorders>
            <w:noWrap w:val="0"/>
            <w:vAlign w:val="center"/>
          </w:tcPr>
          <w:p w14:paraId="3464F258">
            <w:pPr>
              <w:adjustRightInd w:val="0"/>
              <w:snapToGrid w:val="0"/>
              <w:spacing w:before="120" w:line="360" w:lineRule="auto"/>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6C62D717">
            <w:pPr>
              <w:adjustRightInd w:val="0"/>
              <w:snapToGrid w:val="0"/>
              <w:spacing w:before="120" w:line="360" w:lineRule="auto"/>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分</w:t>
            </w:r>
          </w:p>
        </w:tc>
        <w:tc>
          <w:tcPr>
            <w:tcW w:w="3530" w:type="pct"/>
            <w:tcBorders>
              <w:top w:val="single" w:color="000000" w:sz="4" w:space="0"/>
              <w:left w:val="single" w:color="000000" w:sz="4" w:space="0"/>
              <w:bottom w:val="single" w:color="000000" w:sz="4" w:space="0"/>
              <w:right w:val="single" w:color="000000" w:sz="4" w:space="0"/>
            </w:tcBorders>
            <w:noWrap w:val="0"/>
            <w:vAlign w:val="center"/>
          </w:tcPr>
          <w:p w14:paraId="28F47E80">
            <w:pPr>
              <w:widowControl w:val="0"/>
              <w:adjustRightInd w:val="0"/>
              <w:snapToGrid w:val="0"/>
              <w:jc w:val="both"/>
              <w:rPr>
                <w:rFonts w:hint="eastAsia" w:ascii="宋体" w:hAnsi="宋体" w:eastAsia="宋体" w:cs="Arial"/>
                <w:b/>
                <w:bCs/>
                <w:color w:val="auto"/>
                <w:kern w:val="2"/>
                <w:sz w:val="21"/>
                <w:szCs w:val="21"/>
                <w:highlight w:val="none"/>
                <w:lang w:val="en-US" w:eastAsia="zh-CN" w:bidi="ar-SA"/>
              </w:rPr>
            </w:pPr>
            <w:r>
              <w:rPr>
                <w:rFonts w:hint="eastAsia" w:ascii="宋体" w:hAnsi="宋体" w:eastAsia="宋体" w:cs="宋体"/>
                <w:b w:val="0"/>
                <w:bCs/>
                <w:color w:val="auto"/>
                <w:spacing w:val="4"/>
                <w:kern w:val="2"/>
                <w:sz w:val="21"/>
                <w:szCs w:val="21"/>
                <w:highlight w:val="none"/>
                <w:u w:val="none"/>
                <w:lang w:val="en-US" w:eastAsia="zh-CN" w:bidi="ar-SA"/>
              </w:rPr>
              <w:t>项目安全生产负责人具有高级测绘工程师和</w:t>
            </w:r>
            <w:r>
              <w:rPr>
                <w:rFonts w:hint="eastAsia" w:ascii="宋体" w:hAnsi="宋体" w:eastAsia="宋体" w:cs="Times New Roman"/>
                <w:b w:val="0"/>
                <w:bCs/>
                <w:color w:val="auto"/>
                <w:highlight w:val="none"/>
                <w:u w:val="none"/>
                <w:lang w:val="en-US" w:eastAsia="zh-CN"/>
              </w:rPr>
              <w:t>安全工程师职称</w:t>
            </w:r>
            <w:r>
              <w:rPr>
                <w:rFonts w:hint="eastAsia" w:ascii="宋体" w:hAnsi="宋体" w:eastAsia="宋体" w:cs="Times New Roman"/>
                <w:b w:val="0"/>
                <w:bCs/>
                <w:color w:val="auto"/>
                <w:highlight w:val="none"/>
                <w:u w:val="none"/>
              </w:rPr>
              <w:t>证书</w:t>
            </w:r>
            <w:r>
              <w:rPr>
                <w:rFonts w:hint="eastAsia" w:ascii="宋体" w:hAnsi="宋体" w:eastAsia="宋体" w:cs="宋体"/>
                <w:b w:val="0"/>
                <w:bCs/>
                <w:color w:val="auto"/>
                <w:spacing w:val="4"/>
                <w:kern w:val="2"/>
                <w:sz w:val="21"/>
                <w:szCs w:val="21"/>
                <w:highlight w:val="none"/>
                <w:u w:val="none"/>
                <w:lang w:val="en-US" w:eastAsia="zh-CN" w:bidi="ar-SA"/>
              </w:rPr>
              <w:t>得3分；只具有高级测绘工程师得1分，最高得3分。</w:t>
            </w:r>
            <w:r>
              <w:rPr>
                <w:rFonts w:hint="eastAsia" w:ascii="宋体" w:hAnsi="宋体" w:eastAsia="宋体" w:cs="Arial"/>
                <w:b/>
                <w:bCs/>
                <w:color w:val="auto"/>
                <w:kern w:val="2"/>
                <w:sz w:val="21"/>
                <w:szCs w:val="21"/>
                <w:highlight w:val="none"/>
                <w:lang w:val="en-US" w:eastAsia="zh-CN" w:bidi="ar-SA"/>
              </w:rPr>
              <w:t>（注：以联合体形式参与投标的，按牵头单位进行评审，提供相关证书及开标前三个月任意一个月的社保证明复印件加盖公章）</w:t>
            </w:r>
          </w:p>
        </w:tc>
        <w:tc>
          <w:tcPr>
            <w:tcW w:w="392" w:type="pct"/>
            <w:noWrap w:val="0"/>
            <w:vAlign w:val="center"/>
          </w:tcPr>
          <w:p w14:paraId="74FDE2E8">
            <w:pPr>
              <w:adjustRightInd w:val="0"/>
              <w:snapToGrid w:val="0"/>
              <w:spacing w:before="120" w:line="360" w:lineRule="auto"/>
              <w:rPr>
                <w:rFonts w:ascii="宋体" w:hAnsi="宋体" w:eastAsia="宋体" w:cs="Times New Roman"/>
                <w:color w:val="auto"/>
                <w:kern w:val="0"/>
                <w:szCs w:val="21"/>
                <w:highlight w:val="none"/>
              </w:rPr>
            </w:pPr>
          </w:p>
        </w:tc>
      </w:tr>
      <w:tr w14:paraId="5C768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vMerge w:val="continue"/>
            <w:tcBorders>
              <w:right w:val="single" w:color="auto" w:sz="4" w:space="0"/>
            </w:tcBorders>
            <w:noWrap w:val="0"/>
            <w:vAlign w:val="center"/>
          </w:tcPr>
          <w:p w14:paraId="1E29C3B7">
            <w:pPr>
              <w:adjustRightInd w:val="0"/>
              <w:snapToGrid w:val="0"/>
              <w:spacing w:before="120" w:line="360" w:lineRule="auto"/>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11BC7666">
            <w:pPr>
              <w:adjustRightInd w:val="0"/>
              <w:snapToGrid w:val="0"/>
              <w:spacing w:before="120" w:line="360" w:lineRule="auto"/>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分</w:t>
            </w:r>
          </w:p>
        </w:tc>
        <w:tc>
          <w:tcPr>
            <w:tcW w:w="3530" w:type="pct"/>
            <w:tcBorders>
              <w:top w:val="single" w:color="000000" w:sz="4" w:space="0"/>
              <w:left w:val="single" w:color="000000" w:sz="4" w:space="0"/>
              <w:bottom w:val="single" w:color="000000" w:sz="4" w:space="0"/>
              <w:right w:val="single" w:color="000000" w:sz="4" w:space="0"/>
            </w:tcBorders>
            <w:noWrap w:val="0"/>
            <w:vAlign w:val="center"/>
          </w:tcPr>
          <w:p w14:paraId="1D016E1F">
            <w:pPr>
              <w:widowControl w:val="0"/>
              <w:adjustRightInd w:val="0"/>
              <w:snapToGrid w:val="0"/>
              <w:jc w:val="both"/>
              <w:rPr>
                <w:rFonts w:hint="eastAsia"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拟投入项目组其他成员（不含项目总负责人、项目质量负责人、项目安全生产负责人）具有2024年</w:t>
            </w:r>
            <w:r>
              <w:rPr>
                <w:rFonts w:hint="eastAsia" w:ascii="宋体" w:hAnsi="宋体" w:eastAsia="宋体" w:cs="Arial"/>
                <w:b w:val="0"/>
                <w:bCs w:val="0"/>
                <w:color w:val="auto"/>
                <w:kern w:val="2"/>
                <w:sz w:val="21"/>
                <w:szCs w:val="21"/>
                <w:highlight w:val="none"/>
                <w:lang w:val="en-US" w:eastAsia="zh-CN" w:bidi="ar-SA"/>
              </w:rPr>
              <w:t>浙江省国土调查技术培训合格证书</w:t>
            </w:r>
            <w:r>
              <w:rPr>
                <w:rFonts w:hint="eastAsia" w:ascii="宋体" w:hAnsi="宋体" w:eastAsia="宋体" w:cs="宋体"/>
                <w:b w:val="0"/>
                <w:bCs w:val="0"/>
                <w:color w:val="auto"/>
                <w:spacing w:val="4"/>
                <w:kern w:val="2"/>
                <w:sz w:val="21"/>
                <w:szCs w:val="21"/>
                <w:highlight w:val="none"/>
                <w:lang w:val="en-US" w:eastAsia="zh-CN" w:bidi="ar-SA"/>
              </w:rPr>
              <w:t>5人以上得3分，3-5人</w:t>
            </w:r>
            <w:r>
              <w:rPr>
                <w:rFonts w:hint="eastAsia" w:ascii="宋体" w:hAnsi="宋体" w:eastAsia="宋体" w:cs="宋体"/>
                <w:bCs/>
                <w:color w:val="auto"/>
                <w:spacing w:val="4"/>
                <w:kern w:val="2"/>
                <w:sz w:val="21"/>
                <w:szCs w:val="21"/>
                <w:highlight w:val="none"/>
                <w:lang w:val="en-US" w:eastAsia="zh-CN" w:bidi="ar-SA"/>
              </w:rPr>
              <w:t>得2分，1-2人得1分，最高得3分。</w:t>
            </w:r>
          </w:p>
          <w:p w14:paraId="7176BAF3">
            <w:pPr>
              <w:widowControl w:val="0"/>
              <w:adjustRightInd w:val="0"/>
              <w:snapToGrid w:val="0"/>
              <w:jc w:val="both"/>
              <w:rPr>
                <w:rFonts w:hint="eastAsia" w:ascii="宋体" w:hAnsi="宋体" w:eastAsia="宋体" w:cs="Arial"/>
                <w:b/>
                <w:bCs/>
                <w:color w:val="auto"/>
                <w:kern w:val="2"/>
                <w:sz w:val="21"/>
                <w:szCs w:val="21"/>
                <w:highlight w:val="none"/>
                <w:lang w:val="en-US" w:eastAsia="zh-CN" w:bidi="ar-SA"/>
              </w:rPr>
            </w:pPr>
            <w:r>
              <w:rPr>
                <w:rFonts w:hint="eastAsia" w:ascii="宋体" w:hAnsi="宋体" w:eastAsia="宋体" w:cs="Arial"/>
                <w:b/>
                <w:bCs/>
                <w:color w:val="auto"/>
                <w:kern w:val="2"/>
                <w:sz w:val="21"/>
                <w:szCs w:val="21"/>
                <w:highlight w:val="none"/>
                <w:lang w:val="en-US" w:eastAsia="zh-CN" w:bidi="ar-SA"/>
              </w:rPr>
              <w:t>（注：以联合体形式参与投标的，按牵头单位进行评审，提供相关证书及开标前三个月任意一个月的社保证明复印件加盖公章）</w:t>
            </w:r>
          </w:p>
        </w:tc>
        <w:tc>
          <w:tcPr>
            <w:tcW w:w="392" w:type="pct"/>
            <w:noWrap w:val="0"/>
            <w:vAlign w:val="center"/>
          </w:tcPr>
          <w:p w14:paraId="1AE6918E">
            <w:pPr>
              <w:adjustRightInd w:val="0"/>
              <w:snapToGrid w:val="0"/>
              <w:spacing w:before="120" w:line="360" w:lineRule="auto"/>
              <w:rPr>
                <w:rFonts w:ascii="宋体" w:hAnsi="宋体" w:eastAsia="宋体" w:cs="Times New Roman"/>
                <w:color w:val="auto"/>
                <w:kern w:val="0"/>
                <w:szCs w:val="21"/>
                <w:highlight w:val="none"/>
              </w:rPr>
            </w:pPr>
          </w:p>
        </w:tc>
      </w:tr>
      <w:tr w14:paraId="253D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vMerge w:val="continue"/>
            <w:tcBorders>
              <w:right w:val="single" w:color="auto" w:sz="4" w:space="0"/>
            </w:tcBorders>
            <w:noWrap w:val="0"/>
            <w:vAlign w:val="center"/>
          </w:tcPr>
          <w:p w14:paraId="6FB3FC8E">
            <w:pPr>
              <w:adjustRightInd w:val="0"/>
              <w:snapToGrid w:val="0"/>
              <w:spacing w:before="120" w:line="360" w:lineRule="auto"/>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70107620">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分</w:t>
            </w:r>
          </w:p>
        </w:tc>
        <w:tc>
          <w:tcPr>
            <w:tcW w:w="3530" w:type="pct"/>
            <w:tcBorders>
              <w:top w:val="single" w:color="000000" w:sz="4" w:space="0"/>
              <w:left w:val="single" w:color="000000" w:sz="4" w:space="0"/>
              <w:bottom w:val="single" w:color="000000" w:sz="4" w:space="0"/>
              <w:right w:val="single" w:color="000000" w:sz="4" w:space="0"/>
            </w:tcBorders>
            <w:noWrap w:val="0"/>
            <w:vAlign w:val="center"/>
          </w:tcPr>
          <w:p w14:paraId="04305F12">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项目组人员中具有测绘地理信息保密知识培训合格证书且在有效期内的，每人得0.5分，最高得1分。</w:t>
            </w:r>
          </w:p>
          <w:p w14:paraId="00CB3B4E">
            <w:pPr>
              <w:widowControl w:val="0"/>
              <w:adjustRightInd w:val="0"/>
              <w:snapToGrid w:val="0"/>
              <w:jc w:val="both"/>
              <w:rPr>
                <w:rFonts w:ascii="宋体" w:hAnsi="宋体" w:eastAsia="宋体" w:cs="Arial"/>
                <w:bCs/>
                <w:color w:val="auto"/>
                <w:kern w:val="2"/>
                <w:sz w:val="18"/>
                <w:szCs w:val="18"/>
                <w:highlight w:val="none"/>
                <w:lang w:val="en-US" w:eastAsia="zh-CN" w:bidi="ar-SA"/>
              </w:rPr>
            </w:pPr>
            <w:r>
              <w:rPr>
                <w:rFonts w:hint="eastAsia" w:ascii="宋体" w:hAnsi="宋体" w:eastAsia="宋体" w:cs="Arial"/>
                <w:b/>
                <w:bCs/>
                <w:color w:val="auto"/>
                <w:kern w:val="2"/>
                <w:sz w:val="21"/>
                <w:szCs w:val="21"/>
                <w:highlight w:val="none"/>
                <w:lang w:val="en-US" w:eastAsia="zh-CN" w:bidi="ar-SA"/>
              </w:rPr>
              <w:t>（注：以联合体形式参与投标的，按牵头单位进行评审，提供相关证书及开标前三个月任意一个月的社保证明复印件加盖公章）</w:t>
            </w:r>
          </w:p>
        </w:tc>
        <w:tc>
          <w:tcPr>
            <w:tcW w:w="392" w:type="pct"/>
            <w:noWrap w:val="0"/>
            <w:vAlign w:val="center"/>
          </w:tcPr>
          <w:p w14:paraId="6B2E5E2B">
            <w:pPr>
              <w:adjustRightInd w:val="0"/>
              <w:snapToGrid w:val="0"/>
              <w:spacing w:before="120" w:line="360" w:lineRule="auto"/>
              <w:rPr>
                <w:rFonts w:ascii="宋体" w:hAnsi="宋体" w:eastAsia="宋体" w:cs="Times New Roman"/>
                <w:color w:val="auto"/>
                <w:kern w:val="0"/>
                <w:szCs w:val="21"/>
                <w:highlight w:val="none"/>
              </w:rPr>
            </w:pPr>
          </w:p>
        </w:tc>
      </w:tr>
      <w:tr w14:paraId="31061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vMerge w:val="continue"/>
            <w:tcBorders>
              <w:right w:val="single" w:color="auto" w:sz="4" w:space="0"/>
            </w:tcBorders>
            <w:noWrap w:val="0"/>
            <w:vAlign w:val="center"/>
          </w:tcPr>
          <w:p w14:paraId="4C5F83D9">
            <w:pPr>
              <w:adjustRightInd w:val="0"/>
              <w:snapToGrid w:val="0"/>
              <w:spacing w:before="120" w:line="360" w:lineRule="auto"/>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45D8F082">
            <w:pPr>
              <w:adjustRightInd w:val="0"/>
              <w:snapToGrid w:val="0"/>
              <w:spacing w:before="120" w:line="360" w:lineRule="auto"/>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分</w:t>
            </w:r>
          </w:p>
        </w:tc>
        <w:tc>
          <w:tcPr>
            <w:tcW w:w="3530" w:type="pct"/>
            <w:tcBorders>
              <w:top w:val="single" w:color="000000" w:sz="4" w:space="0"/>
              <w:left w:val="single" w:color="000000" w:sz="4" w:space="0"/>
              <w:bottom w:val="single" w:color="000000" w:sz="4" w:space="0"/>
              <w:right w:val="single" w:color="000000" w:sz="4" w:space="0"/>
            </w:tcBorders>
            <w:noWrap w:val="0"/>
            <w:vAlign w:val="center"/>
          </w:tcPr>
          <w:p w14:paraId="611C7869">
            <w:pPr>
              <w:keepNext w:val="0"/>
              <w:keepLines w:val="0"/>
              <w:pageBreakBefore w:val="0"/>
              <w:numPr>
                <w:ilvl w:val="0"/>
                <w:numId w:val="0"/>
              </w:numPr>
              <w:kinsoku/>
              <w:wordWrap/>
              <w:overflowPunct/>
              <w:topLinePunct w:val="0"/>
              <w:bidi w:val="0"/>
              <w:adjustRightInd/>
              <w:snapToGrid/>
              <w:spacing w:line="440" w:lineRule="exact"/>
              <w:ind w:left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shd w:val="clear" w:color="auto" w:fill="auto"/>
                <w:lang w:val="en-US" w:eastAsia="zh-CN" w:bidi="ar-SA"/>
              </w:rPr>
              <w:t>项目组人员中</w:t>
            </w:r>
            <w:r>
              <w:rPr>
                <w:rFonts w:hint="eastAsia" w:ascii="宋体" w:hAnsi="宋体" w:eastAsia="宋体" w:cs="宋体"/>
                <w:snapToGrid w:val="0"/>
                <w:color w:val="auto"/>
                <w:sz w:val="21"/>
                <w:szCs w:val="21"/>
                <w:highlight w:val="none"/>
                <w:shd w:val="clear" w:color="auto" w:fill="auto"/>
                <w:lang w:val="zh-CN" w:eastAsia="zh-CN" w:bidi="ar-SA"/>
              </w:rPr>
              <w:t>具有自然资源调查监测项目管理师培训证书的，每人得</w:t>
            </w:r>
            <w:r>
              <w:rPr>
                <w:rFonts w:hint="eastAsia" w:ascii="宋体" w:hAnsi="宋体" w:cs="宋体"/>
                <w:snapToGrid w:val="0"/>
                <w:color w:val="auto"/>
                <w:sz w:val="21"/>
                <w:szCs w:val="21"/>
                <w:highlight w:val="none"/>
                <w:shd w:val="clear" w:color="auto" w:fill="auto"/>
                <w:lang w:val="en-US" w:eastAsia="zh-CN" w:bidi="ar-SA"/>
              </w:rPr>
              <w:t>0.5</w:t>
            </w:r>
            <w:r>
              <w:rPr>
                <w:rFonts w:hint="eastAsia" w:ascii="宋体" w:hAnsi="宋体" w:eastAsia="宋体" w:cs="宋体"/>
                <w:snapToGrid w:val="0"/>
                <w:color w:val="auto"/>
                <w:sz w:val="21"/>
                <w:szCs w:val="21"/>
                <w:highlight w:val="none"/>
                <w:shd w:val="clear" w:color="auto" w:fill="auto"/>
                <w:lang w:val="zh-CN" w:eastAsia="zh-CN" w:bidi="ar-SA"/>
              </w:rPr>
              <w:t>分，最高</w:t>
            </w:r>
            <w:r>
              <w:rPr>
                <w:rFonts w:hint="eastAsia" w:ascii="宋体" w:hAnsi="宋体" w:cs="宋体"/>
                <w:snapToGrid w:val="0"/>
                <w:color w:val="auto"/>
                <w:sz w:val="21"/>
                <w:szCs w:val="21"/>
                <w:highlight w:val="none"/>
                <w:shd w:val="clear" w:color="auto" w:fill="auto"/>
                <w:lang w:val="en-US" w:eastAsia="zh-CN" w:bidi="ar-SA"/>
              </w:rPr>
              <w:t>1</w:t>
            </w:r>
            <w:r>
              <w:rPr>
                <w:rFonts w:hint="eastAsia" w:ascii="宋体" w:hAnsi="宋体" w:eastAsia="宋体" w:cs="宋体"/>
                <w:snapToGrid w:val="0"/>
                <w:color w:val="auto"/>
                <w:sz w:val="21"/>
                <w:szCs w:val="21"/>
                <w:highlight w:val="none"/>
                <w:shd w:val="clear" w:color="auto" w:fill="auto"/>
                <w:lang w:val="zh-CN" w:eastAsia="zh-CN" w:bidi="ar-SA"/>
              </w:rPr>
              <w:t>分。</w:t>
            </w:r>
          </w:p>
          <w:p w14:paraId="28CAC48C">
            <w:pPr>
              <w:widowControl w:val="0"/>
              <w:adjustRightInd w:val="0"/>
              <w:snapToGrid w:val="0"/>
              <w:jc w:val="both"/>
              <w:rPr>
                <w:rFonts w:hint="eastAsia" w:ascii="宋体" w:hAnsi="宋体" w:eastAsia="宋体" w:cs="Arial"/>
                <w:b/>
                <w:bCs/>
                <w:color w:val="auto"/>
                <w:kern w:val="2"/>
                <w:sz w:val="21"/>
                <w:szCs w:val="21"/>
                <w:highlight w:val="none"/>
                <w:lang w:val="en-US" w:eastAsia="zh-CN" w:bidi="ar-SA"/>
              </w:rPr>
            </w:pPr>
            <w:r>
              <w:rPr>
                <w:rFonts w:hint="eastAsia" w:ascii="宋体" w:hAnsi="宋体" w:eastAsia="宋体" w:cs="Arial"/>
                <w:b/>
                <w:bCs/>
                <w:color w:val="auto"/>
                <w:kern w:val="2"/>
                <w:sz w:val="21"/>
                <w:szCs w:val="21"/>
                <w:highlight w:val="none"/>
                <w:lang w:val="en-US" w:eastAsia="zh-CN" w:bidi="ar-SA"/>
              </w:rPr>
              <w:t>（注：以联合体形式参与投标的，按牵头单位进行评审，提供相关证书及开标前三个月任意一个月的社保证明复印件加盖公章）</w:t>
            </w:r>
          </w:p>
        </w:tc>
        <w:tc>
          <w:tcPr>
            <w:tcW w:w="392" w:type="pct"/>
            <w:noWrap w:val="0"/>
            <w:vAlign w:val="center"/>
          </w:tcPr>
          <w:p w14:paraId="5202CAC4">
            <w:pPr>
              <w:adjustRightInd w:val="0"/>
              <w:snapToGrid w:val="0"/>
              <w:spacing w:before="120" w:line="360" w:lineRule="auto"/>
              <w:rPr>
                <w:rFonts w:ascii="宋体" w:hAnsi="宋体" w:eastAsia="宋体" w:cs="Times New Roman"/>
                <w:color w:val="auto"/>
                <w:kern w:val="0"/>
                <w:szCs w:val="21"/>
                <w:highlight w:val="none"/>
              </w:rPr>
            </w:pPr>
          </w:p>
        </w:tc>
      </w:tr>
      <w:tr w14:paraId="18EC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607" w:type="pct"/>
            <w:vMerge w:val="restart"/>
            <w:tcBorders>
              <w:right w:val="single" w:color="auto" w:sz="4" w:space="0"/>
            </w:tcBorders>
            <w:noWrap w:val="0"/>
            <w:vAlign w:val="center"/>
          </w:tcPr>
          <w:p w14:paraId="795DFF49">
            <w:pPr>
              <w:adjustRightInd w:val="0"/>
              <w:snapToGrid w:val="0"/>
              <w:spacing w:before="1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项目技术方案</w:t>
            </w:r>
          </w:p>
          <w:p w14:paraId="7D9056CC">
            <w:pPr>
              <w:adjustRightInd w:val="0"/>
              <w:snapToGrid w:val="0"/>
              <w:spacing w:before="1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24</w:t>
            </w:r>
            <w:r>
              <w:rPr>
                <w:rFonts w:hint="eastAsia" w:ascii="宋体" w:hAnsi="宋体" w:eastAsia="宋体" w:cs="Times New Roman"/>
                <w:color w:val="auto"/>
                <w:kern w:val="0"/>
                <w:szCs w:val="21"/>
                <w:highlight w:val="none"/>
              </w:rPr>
              <w:t>分）</w:t>
            </w:r>
          </w:p>
        </w:tc>
        <w:tc>
          <w:tcPr>
            <w:tcW w:w="469" w:type="pct"/>
            <w:tcBorders>
              <w:left w:val="single" w:color="auto" w:sz="4" w:space="0"/>
            </w:tcBorders>
            <w:noWrap w:val="0"/>
            <w:vAlign w:val="center"/>
          </w:tcPr>
          <w:p w14:paraId="1BE7E01C">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分</w:t>
            </w:r>
          </w:p>
        </w:tc>
        <w:tc>
          <w:tcPr>
            <w:tcW w:w="3530" w:type="pct"/>
            <w:noWrap w:val="0"/>
            <w:vAlign w:val="center"/>
          </w:tcPr>
          <w:p w14:paraId="191BEAD6">
            <w:pPr>
              <w:adjustRightInd w:val="0"/>
              <w:snapToGrid w:val="0"/>
              <w:spacing w:before="1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投标技术方案总体设计的可行性、扩展性、安全性和独特性，包括项目的技术路线、实施方案和关键技术的阐述：</w:t>
            </w:r>
          </w:p>
          <w:p w14:paraId="11B3632D">
            <w:pPr>
              <w:adjustRightInd w:val="0"/>
              <w:snapToGri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方案针对需求，切合实际，完整合理，内容严谨的：</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分；</w:t>
            </w:r>
          </w:p>
          <w:p w14:paraId="6E5AA7AE">
            <w:pPr>
              <w:adjustRightInd w:val="0"/>
              <w:snapToGri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方案需求理解有偏差，符合实际，合理性较弱，内容基本符合要求的</w:t>
            </w:r>
            <w:r>
              <w:rPr>
                <w:rFonts w:hint="eastAsia" w:ascii="宋体" w:hAnsi="宋体" w:eastAsia="宋体" w:cs="Times New Roman"/>
                <w:color w:val="auto"/>
                <w:szCs w:val="21"/>
                <w:highlight w:val="none"/>
                <w:lang w:val="en-US" w:eastAsia="zh-CN"/>
              </w:rPr>
              <w:t>4-7</w:t>
            </w:r>
            <w:r>
              <w:rPr>
                <w:rFonts w:hint="eastAsia" w:ascii="宋体" w:hAnsi="宋体" w:eastAsia="宋体" w:cs="Times New Roman"/>
                <w:color w:val="auto"/>
                <w:szCs w:val="21"/>
                <w:highlight w:val="none"/>
              </w:rPr>
              <w:t>分；</w:t>
            </w:r>
          </w:p>
          <w:p w14:paraId="4A6051DF">
            <w:pPr>
              <w:widowControl w:val="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与需求偏离较大，不切合实际，合理性差，内容冗杂的1-3分；</w:t>
            </w:r>
          </w:p>
          <w:p w14:paraId="039D552B">
            <w:pPr>
              <w:widowControl w:val="0"/>
              <w:jc w:val="both"/>
              <w:rPr>
                <w:rFonts w:ascii="Times New Roman" w:hAnsi="Times New Roman" w:eastAsia="宋体" w:cs="Times New Roman"/>
                <w:color w:val="auto"/>
                <w:kern w:val="2"/>
                <w:sz w:val="18"/>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完全不满足招标文件要求的，不得分。</w:t>
            </w:r>
          </w:p>
        </w:tc>
        <w:tc>
          <w:tcPr>
            <w:tcW w:w="392" w:type="pct"/>
            <w:noWrap w:val="0"/>
            <w:vAlign w:val="center"/>
          </w:tcPr>
          <w:p w14:paraId="238445E3">
            <w:pPr>
              <w:adjustRightInd w:val="0"/>
              <w:snapToGrid w:val="0"/>
              <w:spacing w:before="120" w:line="360" w:lineRule="auto"/>
              <w:rPr>
                <w:rFonts w:ascii="宋体" w:hAnsi="宋体" w:eastAsia="宋体" w:cs="Times New Roman"/>
                <w:color w:val="auto"/>
                <w:kern w:val="0"/>
                <w:szCs w:val="21"/>
                <w:highlight w:val="none"/>
              </w:rPr>
            </w:pPr>
          </w:p>
        </w:tc>
      </w:tr>
      <w:tr w14:paraId="32D3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5" w:hRule="atLeast"/>
        </w:trPr>
        <w:tc>
          <w:tcPr>
            <w:tcW w:w="607" w:type="pct"/>
            <w:vMerge w:val="continue"/>
            <w:tcBorders>
              <w:right w:val="single" w:color="auto" w:sz="4" w:space="0"/>
            </w:tcBorders>
            <w:noWrap w:val="0"/>
            <w:vAlign w:val="center"/>
          </w:tcPr>
          <w:p w14:paraId="48A83725">
            <w:pPr>
              <w:adjustRightInd w:val="0"/>
              <w:snapToGrid w:val="0"/>
              <w:spacing w:before="120" w:line="360" w:lineRule="auto"/>
              <w:jc w:val="center"/>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2A82FE08">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分</w:t>
            </w:r>
          </w:p>
        </w:tc>
        <w:tc>
          <w:tcPr>
            <w:tcW w:w="3530" w:type="pct"/>
            <w:noWrap w:val="0"/>
            <w:vAlign w:val="center"/>
          </w:tcPr>
          <w:p w14:paraId="2DD12DBA">
            <w:pPr>
              <w:adjustRightInd w:val="0"/>
              <w:snapToGrid w:val="0"/>
              <w:spacing w:before="1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投标人熟悉</w:t>
            </w:r>
            <w:r>
              <w:rPr>
                <w:rFonts w:hint="eastAsia" w:ascii="宋体" w:hAnsi="宋体" w:eastAsia="宋体" w:cs="宋体"/>
                <w:color w:val="auto"/>
                <w:kern w:val="0"/>
                <w:szCs w:val="21"/>
                <w:highlight w:val="none"/>
                <w:lang w:val="en-US" w:eastAsia="zh-CN"/>
              </w:rPr>
              <w:t>土地管理相关业务</w:t>
            </w:r>
            <w:r>
              <w:rPr>
                <w:rFonts w:hint="eastAsia" w:ascii="宋体" w:hAnsi="宋体" w:eastAsia="宋体" w:cs="宋体"/>
                <w:color w:val="auto"/>
                <w:kern w:val="0"/>
                <w:szCs w:val="21"/>
                <w:highlight w:val="none"/>
              </w:rPr>
              <w:t>，对项目采购方需求理解情况、采购方数据理解及综合分析程度，对各个任务理解深刻，包括对采购方现有数据基础、建设需求等内容的分析，给出有效的方案：</w:t>
            </w:r>
          </w:p>
          <w:p w14:paraId="37F38F63">
            <w:pPr>
              <w:widowControl w:val="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方案完整全面，对各个任务理解深刻：8分；</w:t>
            </w:r>
          </w:p>
          <w:p w14:paraId="6E037D9B">
            <w:pPr>
              <w:widowControl w:val="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方案较完整，对各个任务理解较为深刻：4-7分；</w:t>
            </w:r>
          </w:p>
          <w:p w14:paraId="7A9BB8F9">
            <w:pPr>
              <w:widowControl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方案不够完整，对各个任务理解不深刻的：1-3分；</w:t>
            </w:r>
          </w:p>
          <w:p w14:paraId="26D14614">
            <w:pPr>
              <w:widowControl w:val="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未提及不得分。</w:t>
            </w:r>
          </w:p>
        </w:tc>
        <w:tc>
          <w:tcPr>
            <w:tcW w:w="392" w:type="pct"/>
            <w:noWrap w:val="0"/>
            <w:vAlign w:val="center"/>
          </w:tcPr>
          <w:p w14:paraId="26702A88">
            <w:pPr>
              <w:adjustRightInd w:val="0"/>
              <w:snapToGrid w:val="0"/>
              <w:spacing w:before="120" w:line="360" w:lineRule="auto"/>
              <w:rPr>
                <w:rFonts w:ascii="宋体" w:hAnsi="宋体" w:eastAsia="宋体" w:cs="Times New Roman"/>
                <w:color w:val="auto"/>
                <w:kern w:val="0"/>
                <w:szCs w:val="21"/>
                <w:highlight w:val="none"/>
              </w:rPr>
            </w:pPr>
          </w:p>
        </w:tc>
      </w:tr>
      <w:tr w14:paraId="4C9BA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trPr>
        <w:tc>
          <w:tcPr>
            <w:tcW w:w="607" w:type="pct"/>
            <w:vMerge w:val="continue"/>
            <w:tcBorders>
              <w:right w:val="single" w:color="auto" w:sz="4" w:space="0"/>
            </w:tcBorders>
            <w:noWrap w:val="0"/>
            <w:vAlign w:val="center"/>
          </w:tcPr>
          <w:p w14:paraId="05FAD95A">
            <w:pPr>
              <w:adjustRightInd w:val="0"/>
              <w:snapToGrid w:val="0"/>
              <w:spacing w:before="120" w:line="360" w:lineRule="auto"/>
              <w:jc w:val="center"/>
              <w:rPr>
                <w:rFonts w:ascii="宋体" w:hAnsi="宋体" w:eastAsia="宋体" w:cs="Times New Roman"/>
                <w:color w:val="auto"/>
                <w:kern w:val="0"/>
                <w:szCs w:val="21"/>
                <w:highlight w:val="none"/>
              </w:rPr>
            </w:pPr>
          </w:p>
        </w:tc>
        <w:tc>
          <w:tcPr>
            <w:tcW w:w="469" w:type="pct"/>
            <w:tcBorders>
              <w:left w:val="single" w:color="auto" w:sz="4" w:space="0"/>
            </w:tcBorders>
            <w:noWrap w:val="0"/>
            <w:vAlign w:val="center"/>
          </w:tcPr>
          <w:p w14:paraId="5798EBCB">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分</w:t>
            </w:r>
          </w:p>
        </w:tc>
        <w:tc>
          <w:tcPr>
            <w:tcW w:w="3530" w:type="pct"/>
            <w:noWrap w:val="0"/>
            <w:vAlign w:val="center"/>
          </w:tcPr>
          <w:p w14:paraId="2601C5A6">
            <w:pPr>
              <w:adjustRightInd w:val="0"/>
              <w:snapToGrid w:val="0"/>
              <w:spacing w:before="1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投标技术方案的针对性，结合</w:t>
            </w:r>
            <w:r>
              <w:rPr>
                <w:rFonts w:hint="eastAsia" w:ascii="宋体" w:hAnsi="宋体" w:eastAsia="宋体" w:cs="宋体"/>
                <w:color w:val="auto"/>
                <w:kern w:val="0"/>
                <w:szCs w:val="21"/>
                <w:highlight w:val="none"/>
                <w:lang w:val="en-US" w:eastAsia="zh-CN"/>
              </w:rPr>
              <w:t>国土调查和日常测绘技术服务</w:t>
            </w:r>
            <w:r>
              <w:rPr>
                <w:rFonts w:hint="eastAsia" w:ascii="宋体" w:hAnsi="宋体" w:eastAsia="宋体" w:cs="宋体"/>
                <w:color w:val="auto"/>
                <w:kern w:val="0"/>
                <w:szCs w:val="21"/>
                <w:highlight w:val="none"/>
              </w:rPr>
              <w:t>的标准、要求、要素，点对点对答详尽、明细，满足招标需求：</w:t>
            </w:r>
          </w:p>
          <w:p w14:paraId="736BDE4A">
            <w:pPr>
              <w:widowControl w:val="0"/>
              <w:jc w:val="both"/>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方案详尽，点对点明确：8分；</w:t>
            </w:r>
          </w:p>
          <w:p w14:paraId="281E3F14">
            <w:pPr>
              <w:widowControl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方案较详尽：4-7分；</w:t>
            </w:r>
          </w:p>
          <w:p w14:paraId="24DEE08E">
            <w:pPr>
              <w:widowControl w:val="0"/>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方案不够详尽：1-3分；</w:t>
            </w:r>
          </w:p>
          <w:p w14:paraId="050B4627">
            <w:pPr>
              <w:widowControl w:val="0"/>
              <w:jc w:val="both"/>
              <w:rPr>
                <w:rFonts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未提及不得分。</w:t>
            </w:r>
          </w:p>
        </w:tc>
        <w:tc>
          <w:tcPr>
            <w:tcW w:w="392" w:type="pct"/>
            <w:noWrap w:val="0"/>
            <w:vAlign w:val="center"/>
          </w:tcPr>
          <w:p w14:paraId="3271BF2A">
            <w:pPr>
              <w:adjustRightInd w:val="0"/>
              <w:snapToGrid w:val="0"/>
              <w:spacing w:before="120" w:line="360" w:lineRule="auto"/>
              <w:rPr>
                <w:rFonts w:ascii="宋体" w:hAnsi="宋体" w:eastAsia="宋体" w:cs="Times New Roman"/>
                <w:color w:val="auto"/>
                <w:kern w:val="0"/>
                <w:szCs w:val="21"/>
                <w:highlight w:val="none"/>
              </w:rPr>
            </w:pPr>
          </w:p>
        </w:tc>
      </w:tr>
      <w:tr w14:paraId="4B01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right w:val="single" w:color="auto" w:sz="4" w:space="0"/>
            </w:tcBorders>
            <w:noWrap w:val="0"/>
            <w:vAlign w:val="center"/>
          </w:tcPr>
          <w:p w14:paraId="0CE8B195">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调查的重点、难点分析</w:t>
            </w:r>
          </w:p>
          <w:p w14:paraId="54F95862">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469" w:type="pct"/>
            <w:tcBorders>
              <w:left w:val="single" w:color="auto" w:sz="4" w:space="0"/>
            </w:tcBorders>
            <w:noWrap w:val="0"/>
            <w:vAlign w:val="center"/>
          </w:tcPr>
          <w:p w14:paraId="3B34B519">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分</w:t>
            </w:r>
          </w:p>
        </w:tc>
        <w:tc>
          <w:tcPr>
            <w:tcW w:w="3530" w:type="pct"/>
            <w:noWrap w:val="0"/>
            <w:vAlign w:val="center"/>
          </w:tcPr>
          <w:p w14:paraId="0798CD69">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投标人对项目的重点难点分析，阐述项目实施过程中将会遇到的问题，包括工作要点、关键点作分析及解决方案及采取的对应措施：</w:t>
            </w:r>
          </w:p>
          <w:p w14:paraId="4E502718">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分析深刻透彻，有针对性，有清晰详尽处理方法：</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14:paraId="13996106">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分析基本合理、内容简单，处理方法阐述不够详尽：</w:t>
            </w:r>
            <w:r>
              <w:rPr>
                <w:rFonts w:hint="eastAsia" w:ascii="宋体" w:hAnsi="宋体" w:eastAsia="宋体" w:cs="宋体"/>
                <w:color w:val="auto"/>
                <w:szCs w:val="21"/>
                <w:highlight w:val="none"/>
                <w:lang w:val="en-US" w:eastAsia="zh-CN"/>
              </w:rPr>
              <w:t>4-7</w:t>
            </w:r>
            <w:r>
              <w:rPr>
                <w:rFonts w:hint="eastAsia" w:ascii="宋体" w:hAnsi="宋体" w:eastAsia="宋体" w:cs="宋体"/>
                <w:color w:val="auto"/>
                <w:szCs w:val="21"/>
                <w:highlight w:val="none"/>
              </w:rPr>
              <w:t>分；</w:t>
            </w:r>
          </w:p>
          <w:p w14:paraId="61AF28C6">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分析片面，处理方法缺乏针对性：</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分；</w:t>
            </w:r>
          </w:p>
          <w:p w14:paraId="08607A9A">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未提及此项不得分。</w:t>
            </w:r>
          </w:p>
        </w:tc>
        <w:tc>
          <w:tcPr>
            <w:tcW w:w="392" w:type="pct"/>
            <w:noWrap w:val="0"/>
            <w:vAlign w:val="center"/>
          </w:tcPr>
          <w:p w14:paraId="0F9064BE">
            <w:pPr>
              <w:adjustRightInd w:val="0"/>
              <w:snapToGrid w:val="0"/>
              <w:spacing w:before="120" w:line="360" w:lineRule="auto"/>
              <w:rPr>
                <w:rFonts w:ascii="宋体" w:hAnsi="宋体" w:eastAsia="宋体" w:cs="Times New Roman"/>
                <w:color w:val="auto"/>
                <w:kern w:val="0"/>
                <w:szCs w:val="21"/>
                <w:highlight w:val="none"/>
              </w:rPr>
            </w:pPr>
          </w:p>
        </w:tc>
      </w:tr>
      <w:tr w14:paraId="7912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right w:val="single" w:color="auto" w:sz="4" w:space="0"/>
            </w:tcBorders>
            <w:noWrap w:val="0"/>
            <w:vAlign w:val="center"/>
          </w:tcPr>
          <w:p w14:paraId="728F08C5">
            <w:pPr>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项目实施</w:t>
            </w:r>
          </w:p>
          <w:p w14:paraId="6919CFDB">
            <w:pPr>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方案</w:t>
            </w:r>
          </w:p>
          <w:p w14:paraId="005D581B">
            <w:pPr>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469" w:type="pct"/>
            <w:tcBorders>
              <w:left w:val="single" w:color="auto" w:sz="4" w:space="0"/>
            </w:tcBorders>
            <w:noWrap w:val="0"/>
            <w:vAlign w:val="center"/>
          </w:tcPr>
          <w:p w14:paraId="43AA9BD8">
            <w:pPr>
              <w:adjustRightInd w:val="0"/>
              <w:snapToGrid w:val="0"/>
              <w:spacing w:before="120"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分</w:t>
            </w:r>
          </w:p>
        </w:tc>
        <w:tc>
          <w:tcPr>
            <w:tcW w:w="3530" w:type="pct"/>
            <w:noWrap w:val="0"/>
            <w:vAlign w:val="center"/>
          </w:tcPr>
          <w:p w14:paraId="6F49574E">
            <w:pPr>
              <w:wordWrap w:val="0"/>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项目实施方案：</w:t>
            </w:r>
          </w:p>
          <w:p w14:paraId="315E869A">
            <w:pPr>
              <w:wordWrap w:val="0"/>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投标人项目实施方案客观、合理、完整，有</w:t>
            </w:r>
            <w:r>
              <w:rPr>
                <w:rFonts w:hint="eastAsia" w:ascii="Times New Roman" w:hAnsi="Times New Roman" w:eastAsia="宋体" w:cs="Times New Roman"/>
                <w:color w:val="auto"/>
                <w:szCs w:val="20"/>
                <w:highlight w:val="none"/>
              </w:rPr>
              <w:t>操作性和针对性，总体方案中分析和阐述的角度新颖的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14:paraId="21ED6F74">
            <w:pPr>
              <w:wordWrap w:val="0"/>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项目方案需求理解有偏差，符合实际，合理性较弱，内容编写水平基本符合要求的</w:t>
            </w:r>
            <w:r>
              <w:rPr>
                <w:rFonts w:hint="eastAsia" w:ascii="宋体" w:hAnsi="宋体" w:eastAsia="宋体" w:cs="宋体"/>
                <w:color w:val="auto"/>
                <w:szCs w:val="21"/>
                <w:highlight w:val="none"/>
                <w:lang w:val="en-US" w:eastAsia="zh-CN"/>
              </w:rPr>
              <w:t>4-7</w:t>
            </w:r>
            <w:r>
              <w:rPr>
                <w:rFonts w:hint="eastAsia" w:ascii="宋体" w:hAnsi="宋体" w:eastAsia="宋体" w:cs="宋体"/>
                <w:color w:val="auto"/>
                <w:szCs w:val="21"/>
                <w:highlight w:val="none"/>
              </w:rPr>
              <w:t>分；</w:t>
            </w:r>
          </w:p>
          <w:p w14:paraId="255990F3">
            <w:pPr>
              <w:wordWrap w:val="0"/>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与需求偏离较大，不切合实际，合理性差，内容冗杂的</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分；</w:t>
            </w:r>
          </w:p>
          <w:p w14:paraId="6901649A">
            <w:pPr>
              <w:wordWrap w:val="0"/>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不满足招标文件要求的，不得分。</w:t>
            </w:r>
          </w:p>
        </w:tc>
        <w:tc>
          <w:tcPr>
            <w:tcW w:w="392" w:type="pct"/>
            <w:noWrap w:val="0"/>
            <w:vAlign w:val="center"/>
          </w:tcPr>
          <w:p w14:paraId="36883327">
            <w:pPr>
              <w:adjustRightInd w:val="0"/>
              <w:snapToGrid w:val="0"/>
              <w:spacing w:before="120" w:line="360" w:lineRule="auto"/>
              <w:rPr>
                <w:rFonts w:ascii="宋体" w:hAnsi="宋体" w:eastAsia="宋体" w:cs="Times New Roman"/>
                <w:color w:val="auto"/>
                <w:kern w:val="0"/>
                <w:szCs w:val="21"/>
                <w:highlight w:val="none"/>
              </w:rPr>
            </w:pPr>
          </w:p>
        </w:tc>
      </w:tr>
      <w:tr w14:paraId="307B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trPr>
        <w:tc>
          <w:tcPr>
            <w:tcW w:w="607" w:type="pct"/>
            <w:tcBorders>
              <w:right w:val="single" w:color="auto" w:sz="4" w:space="0"/>
            </w:tcBorders>
            <w:noWrap w:val="0"/>
            <w:vAlign w:val="center"/>
          </w:tcPr>
          <w:p w14:paraId="1E5EE5AC">
            <w:pPr>
              <w:spacing w:line="360" w:lineRule="exact"/>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质量保证措施</w:t>
            </w:r>
          </w:p>
          <w:p w14:paraId="0A96E40C">
            <w:pPr>
              <w:widowControl w:val="0"/>
              <w:jc w:val="both"/>
              <w:rPr>
                <w:rFonts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（5分）</w:t>
            </w:r>
          </w:p>
        </w:tc>
        <w:tc>
          <w:tcPr>
            <w:tcW w:w="469" w:type="pct"/>
            <w:tcBorders>
              <w:left w:val="single" w:color="auto" w:sz="4" w:space="0"/>
            </w:tcBorders>
            <w:noWrap w:val="0"/>
            <w:vAlign w:val="center"/>
          </w:tcPr>
          <w:p w14:paraId="2600443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3530" w:type="pct"/>
            <w:noWrap w:val="0"/>
            <w:vAlign w:val="center"/>
          </w:tcPr>
          <w:p w14:paraId="150E54ED">
            <w:pPr>
              <w:wordWrap w:val="0"/>
              <w:adjustRightInd w:val="0"/>
              <w:snapToGrid w:val="0"/>
              <w:spacing w:line="360" w:lineRule="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投标人针对本项目制定的质量保证措施：</w:t>
            </w:r>
          </w:p>
          <w:p w14:paraId="20262550">
            <w:pPr>
              <w:wordWrap w:val="0"/>
              <w:adjustRightInd w:val="0"/>
              <w:snapToGrid w:val="0"/>
              <w:spacing w:line="360" w:lineRule="auto"/>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制定的质量保证措施内容完整、充实，合理</w:t>
            </w:r>
            <w:r>
              <w:rPr>
                <w:rFonts w:hint="eastAsia" w:ascii="Times New Roman" w:hAnsi="Times New Roman" w:eastAsia="宋体" w:cs="Times New Roman"/>
                <w:color w:val="auto"/>
                <w:szCs w:val="20"/>
                <w:highlight w:val="none"/>
                <w:lang w:val="en-US" w:eastAsia="zh-CN"/>
              </w:rPr>
              <w:t>得5</w:t>
            </w:r>
            <w:r>
              <w:rPr>
                <w:rFonts w:hint="eastAsia" w:ascii="Times New Roman" w:hAnsi="Times New Roman" w:eastAsia="宋体" w:cs="Times New Roman"/>
                <w:color w:val="auto"/>
                <w:szCs w:val="20"/>
                <w:highlight w:val="none"/>
              </w:rPr>
              <w:t>分；</w:t>
            </w:r>
          </w:p>
          <w:p w14:paraId="46A1969B">
            <w:pPr>
              <w:wordWrap w:val="0"/>
              <w:adjustRightInd w:val="0"/>
              <w:snapToGrid w:val="0"/>
              <w:spacing w:line="360" w:lineRule="auto"/>
              <w:rPr>
                <w:rFonts w:hint="eastAsia" w:ascii="Times New Roman" w:hAnsi="Times New Roman" w:eastAsia="宋体" w:cs="Times New Roman"/>
                <w:color w:val="auto"/>
                <w:szCs w:val="20"/>
                <w:highlight w:val="none"/>
                <w:lang w:eastAsia="zh-CN"/>
              </w:rPr>
            </w:pPr>
            <w:r>
              <w:rPr>
                <w:rFonts w:hint="eastAsia" w:ascii="Times New Roman" w:hAnsi="Times New Roman" w:eastAsia="宋体" w:cs="Times New Roman"/>
                <w:color w:val="auto"/>
                <w:szCs w:val="20"/>
                <w:highlight w:val="none"/>
              </w:rPr>
              <w:t>措施较完整、合理</w:t>
            </w:r>
            <w:r>
              <w:rPr>
                <w:rFonts w:hint="eastAsia" w:ascii="Times New Roman" w:hAnsi="Times New Roman" w:eastAsia="宋体" w:cs="Times New Roman"/>
                <w:color w:val="auto"/>
                <w:szCs w:val="20"/>
                <w:highlight w:val="none"/>
                <w:lang w:val="en-US" w:eastAsia="zh-CN"/>
              </w:rPr>
              <w:t>得3-4</w:t>
            </w:r>
            <w:r>
              <w:rPr>
                <w:rFonts w:hint="eastAsia" w:ascii="Times New Roman" w:hAnsi="Times New Roman" w:eastAsia="宋体" w:cs="Times New Roman"/>
                <w:color w:val="auto"/>
                <w:szCs w:val="20"/>
                <w:highlight w:val="none"/>
              </w:rPr>
              <w:t>分</w:t>
            </w:r>
            <w:r>
              <w:rPr>
                <w:rFonts w:hint="eastAsia" w:ascii="Times New Roman" w:hAnsi="Times New Roman" w:eastAsia="宋体" w:cs="Times New Roman"/>
                <w:color w:val="auto"/>
                <w:szCs w:val="20"/>
                <w:highlight w:val="none"/>
                <w:lang w:eastAsia="zh-CN"/>
              </w:rPr>
              <w:t>；</w:t>
            </w:r>
          </w:p>
          <w:p w14:paraId="28FB6310">
            <w:pPr>
              <w:wordWrap w:val="0"/>
              <w:adjustRightInd w:val="0"/>
              <w:snapToGrid w:val="0"/>
              <w:spacing w:line="360" w:lineRule="auto"/>
              <w:rPr>
                <w:rFonts w:hint="eastAsia" w:ascii="Times New Roman" w:hAnsi="Times New Roman" w:eastAsia="宋体" w:cs="Times New Roman"/>
                <w:color w:val="auto"/>
                <w:szCs w:val="20"/>
                <w:highlight w:val="none"/>
                <w:lang w:eastAsia="zh-CN"/>
              </w:rPr>
            </w:pPr>
            <w:r>
              <w:rPr>
                <w:rFonts w:hint="eastAsia" w:ascii="Times New Roman" w:hAnsi="Times New Roman" w:eastAsia="宋体" w:cs="Times New Roman"/>
                <w:color w:val="auto"/>
                <w:szCs w:val="20"/>
                <w:highlight w:val="none"/>
              </w:rPr>
              <w:t>措施不够完整、合理</w:t>
            </w:r>
            <w:r>
              <w:rPr>
                <w:rFonts w:hint="eastAsia" w:ascii="Times New Roman" w:hAnsi="Times New Roman" w:eastAsia="宋体" w:cs="Times New Roman"/>
                <w:color w:val="auto"/>
                <w:szCs w:val="20"/>
                <w:highlight w:val="none"/>
                <w:lang w:val="en-US" w:eastAsia="zh-CN"/>
              </w:rPr>
              <w:t>得1-2</w:t>
            </w:r>
            <w:r>
              <w:rPr>
                <w:rFonts w:hint="eastAsia" w:ascii="Times New Roman" w:hAnsi="Times New Roman" w:eastAsia="宋体" w:cs="Times New Roman"/>
                <w:color w:val="auto"/>
                <w:szCs w:val="20"/>
                <w:highlight w:val="none"/>
              </w:rPr>
              <w:t>分</w:t>
            </w:r>
            <w:r>
              <w:rPr>
                <w:rFonts w:hint="eastAsia" w:ascii="Times New Roman" w:hAnsi="Times New Roman" w:eastAsia="宋体" w:cs="Times New Roman"/>
                <w:color w:val="auto"/>
                <w:szCs w:val="20"/>
                <w:highlight w:val="none"/>
                <w:lang w:eastAsia="zh-CN"/>
              </w:rPr>
              <w:t>；</w:t>
            </w:r>
          </w:p>
          <w:p w14:paraId="15B4FBC3">
            <w:pPr>
              <w:wordWrap w:val="0"/>
              <w:adjustRightInd w:val="0"/>
              <w:snapToGrid w:val="0"/>
              <w:spacing w:line="360" w:lineRule="auto"/>
              <w:rPr>
                <w:rFonts w:ascii="Times New Roman" w:hAnsi="Times New Roman" w:eastAsia="宋体" w:cs="宋体"/>
                <w:color w:val="auto"/>
                <w:spacing w:val="4"/>
                <w:szCs w:val="20"/>
                <w:highlight w:val="none"/>
              </w:rPr>
            </w:pPr>
            <w:r>
              <w:rPr>
                <w:rFonts w:hint="eastAsia" w:ascii="Times New Roman" w:hAnsi="Times New Roman" w:eastAsia="宋体" w:cs="Times New Roman"/>
                <w:color w:val="auto"/>
                <w:szCs w:val="20"/>
                <w:highlight w:val="none"/>
              </w:rPr>
              <w:t>完全不合理或未提及的不得分。</w:t>
            </w:r>
          </w:p>
        </w:tc>
        <w:tc>
          <w:tcPr>
            <w:tcW w:w="392" w:type="pct"/>
            <w:noWrap w:val="0"/>
            <w:vAlign w:val="center"/>
          </w:tcPr>
          <w:p w14:paraId="3EC24C81">
            <w:pPr>
              <w:adjustRightInd w:val="0"/>
              <w:snapToGrid w:val="0"/>
              <w:spacing w:before="120" w:line="360" w:lineRule="auto"/>
              <w:rPr>
                <w:rFonts w:ascii="宋体" w:hAnsi="宋体" w:eastAsia="宋体" w:cs="Times New Roman"/>
                <w:color w:val="auto"/>
                <w:kern w:val="0"/>
                <w:szCs w:val="21"/>
                <w:highlight w:val="none"/>
              </w:rPr>
            </w:pPr>
          </w:p>
        </w:tc>
      </w:tr>
      <w:tr w14:paraId="6A7E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right w:val="single" w:color="auto" w:sz="4" w:space="0"/>
            </w:tcBorders>
            <w:noWrap w:val="0"/>
            <w:vAlign w:val="center"/>
          </w:tcPr>
          <w:p w14:paraId="7B49EA90">
            <w:pPr>
              <w:spacing w:line="360" w:lineRule="exact"/>
              <w:jc w:val="center"/>
              <w:rPr>
                <w:rFonts w:ascii="宋体" w:hAnsi="宋体" w:eastAsia="宋体" w:cs="宋体"/>
                <w:color w:val="auto"/>
                <w:szCs w:val="21"/>
                <w:highlight w:val="none"/>
              </w:rPr>
            </w:pPr>
            <w:r>
              <w:rPr>
                <w:rFonts w:hint="eastAsia" w:ascii="Times New Roman" w:hAnsi="Times New Roman" w:eastAsia="宋体" w:cs="宋体"/>
                <w:color w:val="auto"/>
                <w:spacing w:val="4"/>
                <w:szCs w:val="20"/>
                <w:highlight w:val="none"/>
              </w:rPr>
              <w:t>售后服务及现场技术支持方案（</w:t>
            </w:r>
            <w:r>
              <w:rPr>
                <w:rFonts w:hint="eastAsia" w:ascii="Times New Roman" w:hAnsi="Times New Roman" w:eastAsia="宋体" w:cs="宋体"/>
                <w:color w:val="auto"/>
                <w:spacing w:val="4"/>
                <w:szCs w:val="20"/>
                <w:highlight w:val="none"/>
                <w:lang w:val="en-US" w:eastAsia="zh-CN"/>
              </w:rPr>
              <w:t>5</w:t>
            </w:r>
            <w:r>
              <w:rPr>
                <w:rFonts w:hint="eastAsia" w:ascii="Times New Roman" w:hAnsi="Times New Roman" w:eastAsia="宋体" w:cs="宋体"/>
                <w:color w:val="auto"/>
                <w:spacing w:val="4"/>
                <w:szCs w:val="20"/>
                <w:highlight w:val="none"/>
              </w:rPr>
              <w:t>分）</w:t>
            </w:r>
          </w:p>
        </w:tc>
        <w:tc>
          <w:tcPr>
            <w:tcW w:w="469" w:type="pct"/>
            <w:tcBorders>
              <w:left w:val="single" w:color="auto" w:sz="4" w:space="0"/>
            </w:tcBorders>
            <w:noWrap w:val="0"/>
            <w:vAlign w:val="center"/>
          </w:tcPr>
          <w:p w14:paraId="3ED08BD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3530" w:type="pct"/>
            <w:noWrap w:val="0"/>
            <w:vAlign w:val="center"/>
          </w:tcPr>
          <w:p w14:paraId="66D4962A">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投标人提供的售后服务及现场技术支持方案的切实可行、完整、响应处理机制合理</w:t>
            </w:r>
          </w:p>
          <w:p w14:paraId="59021145">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售后服务承诺可行，完整，保障措施全面得5分；</w:t>
            </w:r>
          </w:p>
          <w:p w14:paraId="13D0347E">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售后服务承诺较可行，完整，保障措施较全面得3-4分；</w:t>
            </w:r>
          </w:p>
          <w:p w14:paraId="0668E8C2">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售后服务承诺基本满足招标文件要求的得1-2分；</w:t>
            </w:r>
          </w:p>
          <w:p w14:paraId="5E8F96E4">
            <w:pPr>
              <w:widowControl w:val="0"/>
              <w:adjustRightInd w:val="0"/>
              <w:snapToGrid w:val="0"/>
              <w:jc w:val="both"/>
              <w:rPr>
                <w:rFonts w:ascii="宋体" w:hAnsi="宋体" w:eastAsia="宋体" w:cs="宋体"/>
                <w:bCs/>
                <w:color w:val="auto"/>
                <w:spacing w:val="4"/>
                <w:kern w:val="2"/>
                <w:sz w:val="21"/>
                <w:szCs w:val="21"/>
                <w:highlight w:val="none"/>
                <w:lang w:val="en-US" w:eastAsia="zh-CN" w:bidi="ar-SA"/>
              </w:rPr>
            </w:pPr>
            <w:r>
              <w:rPr>
                <w:rFonts w:hint="eastAsia" w:ascii="宋体" w:hAnsi="宋体" w:eastAsia="宋体" w:cs="宋体"/>
                <w:bCs/>
                <w:color w:val="auto"/>
                <w:spacing w:val="4"/>
                <w:kern w:val="2"/>
                <w:sz w:val="21"/>
                <w:szCs w:val="21"/>
                <w:highlight w:val="none"/>
                <w:lang w:val="en-US" w:eastAsia="zh-CN" w:bidi="ar-SA"/>
              </w:rPr>
              <w:t>不满足招标文件要求的，不得分。</w:t>
            </w:r>
          </w:p>
        </w:tc>
        <w:tc>
          <w:tcPr>
            <w:tcW w:w="392" w:type="pct"/>
            <w:noWrap w:val="0"/>
            <w:vAlign w:val="center"/>
          </w:tcPr>
          <w:p w14:paraId="2BFF6E5D">
            <w:pPr>
              <w:adjustRightInd w:val="0"/>
              <w:snapToGrid w:val="0"/>
              <w:spacing w:before="120" w:line="360" w:lineRule="auto"/>
              <w:rPr>
                <w:rFonts w:ascii="宋体" w:hAnsi="宋体" w:eastAsia="宋体" w:cs="Times New Roman"/>
                <w:color w:val="auto"/>
                <w:kern w:val="0"/>
                <w:szCs w:val="21"/>
                <w:highlight w:val="none"/>
              </w:rPr>
            </w:pPr>
          </w:p>
        </w:tc>
      </w:tr>
      <w:tr w14:paraId="0E1C2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right w:val="single" w:color="auto" w:sz="4" w:space="0"/>
            </w:tcBorders>
            <w:noWrap w:val="0"/>
            <w:vAlign w:val="center"/>
          </w:tcPr>
          <w:p w14:paraId="6A645325">
            <w:pPr>
              <w:spacing w:line="360" w:lineRule="exact"/>
              <w:jc w:val="center"/>
              <w:rPr>
                <w:rFonts w:ascii="Times New Roman" w:hAnsi="Times New Roman" w:eastAsia="宋体" w:cs="宋体"/>
                <w:color w:val="auto"/>
                <w:spacing w:val="4"/>
                <w:szCs w:val="21"/>
                <w:highlight w:val="none"/>
              </w:rPr>
            </w:pPr>
            <w:r>
              <w:rPr>
                <w:rFonts w:hint="eastAsia" w:ascii="Times New Roman" w:hAnsi="Times New Roman" w:eastAsia="宋体" w:cs="宋体"/>
                <w:color w:val="auto"/>
                <w:spacing w:val="4"/>
                <w:szCs w:val="21"/>
                <w:highlight w:val="none"/>
              </w:rPr>
              <w:t>合理化建议</w:t>
            </w:r>
          </w:p>
          <w:p w14:paraId="44C2FD8B">
            <w:pPr>
              <w:spacing w:line="360" w:lineRule="exact"/>
              <w:jc w:val="center"/>
              <w:rPr>
                <w:rFonts w:ascii="宋体" w:hAnsi="宋体" w:eastAsia="宋体" w:cs="宋体"/>
                <w:color w:val="auto"/>
                <w:szCs w:val="21"/>
                <w:highlight w:val="none"/>
              </w:rPr>
            </w:pPr>
            <w:r>
              <w:rPr>
                <w:rFonts w:hint="eastAsia" w:ascii="Times New Roman" w:hAnsi="Times New Roman" w:eastAsia="宋体" w:cs="宋体"/>
                <w:color w:val="auto"/>
                <w:spacing w:val="4"/>
                <w:szCs w:val="21"/>
                <w:highlight w:val="none"/>
              </w:rPr>
              <w:t>（</w:t>
            </w:r>
            <w:r>
              <w:rPr>
                <w:rFonts w:hint="eastAsia" w:ascii="Times New Roman" w:hAnsi="Times New Roman" w:eastAsia="宋体" w:cs="宋体"/>
                <w:color w:val="auto"/>
                <w:spacing w:val="4"/>
                <w:szCs w:val="21"/>
                <w:highlight w:val="none"/>
                <w:lang w:val="en-US" w:eastAsia="zh-CN"/>
              </w:rPr>
              <w:t>5</w:t>
            </w:r>
            <w:r>
              <w:rPr>
                <w:rFonts w:hint="eastAsia" w:ascii="Times New Roman" w:hAnsi="Times New Roman" w:eastAsia="宋体" w:cs="宋体"/>
                <w:color w:val="auto"/>
                <w:spacing w:val="4"/>
                <w:szCs w:val="21"/>
                <w:highlight w:val="none"/>
              </w:rPr>
              <w:t>分）</w:t>
            </w:r>
          </w:p>
        </w:tc>
        <w:tc>
          <w:tcPr>
            <w:tcW w:w="469" w:type="pct"/>
            <w:tcBorders>
              <w:left w:val="single" w:color="auto" w:sz="4" w:space="0"/>
            </w:tcBorders>
            <w:noWrap w:val="0"/>
            <w:vAlign w:val="center"/>
          </w:tcPr>
          <w:p w14:paraId="403C4CAA">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3530" w:type="pct"/>
            <w:noWrap w:val="0"/>
            <w:vAlign w:val="center"/>
          </w:tcPr>
          <w:p w14:paraId="6D37D731">
            <w:pPr>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投标人针对本项目合理化建议合理性、针对性等：</w:t>
            </w:r>
          </w:p>
          <w:p w14:paraId="3E8872C9">
            <w:pPr>
              <w:rPr>
                <w:rFonts w:ascii="宋体" w:hAnsi="宋体" w:eastAsia="宋体" w:cs="宋体"/>
                <w:color w:val="auto"/>
                <w:szCs w:val="21"/>
                <w:highlight w:val="none"/>
              </w:rPr>
            </w:pPr>
            <w:r>
              <w:rPr>
                <w:rFonts w:hint="eastAsia" w:ascii="宋体" w:hAnsi="宋体" w:eastAsia="宋体" w:cs="宋体"/>
                <w:color w:val="auto"/>
                <w:szCs w:val="21"/>
                <w:highlight w:val="none"/>
              </w:rPr>
              <w:t>针对本项目的合理化建议合理，有针对性</w:t>
            </w:r>
            <w:r>
              <w:rPr>
                <w:rFonts w:hint="eastAsia" w:ascii="宋体" w:hAnsi="宋体" w:eastAsia="宋体" w:cs="宋体"/>
                <w:color w:val="auto"/>
                <w:szCs w:val="21"/>
                <w:highlight w:val="none"/>
                <w:lang w:val="en-US" w:eastAsia="zh-CN"/>
              </w:rPr>
              <w:t>得5</w:t>
            </w:r>
            <w:r>
              <w:rPr>
                <w:rFonts w:hint="eastAsia" w:ascii="宋体" w:hAnsi="宋体" w:eastAsia="宋体" w:cs="宋体"/>
                <w:color w:val="auto"/>
                <w:szCs w:val="21"/>
                <w:highlight w:val="none"/>
              </w:rPr>
              <w:t>分；</w:t>
            </w:r>
          </w:p>
          <w:p w14:paraId="4C851CE9">
            <w:pPr>
              <w:rPr>
                <w:rFonts w:ascii="宋体" w:hAnsi="宋体" w:eastAsia="宋体" w:cs="宋体"/>
                <w:color w:val="auto"/>
                <w:szCs w:val="21"/>
                <w:highlight w:val="none"/>
              </w:rPr>
            </w:pPr>
            <w:r>
              <w:rPr>
                <w:rFonts w:hint="eastAsia" w:ascii="宋体" w:hAnsi="宋体" w:eastAsia="宋体" w:cs="宋体"/>
                <w:color w:val="auto"/>
                <w:szCs w:val="21"/>
                <w:highlight w:val="none"/>
              </w:rPr>
              <w:t>针对本项目的合理化建议较合理的，有一定的针对性</w:t>
            </w:r>
            <w:r>
              <w:rPr>
                <w:rFonts w:hint="eastAsia" w:ascii="宋体" w:hAnsi="宋体" w:eastAsia="宋体" w:cs="宋体"/>
                <w:color w:val="auto"/>
                <w:szCs w:val="21"/>
                <w:highlight w:val="none"/>
                <w:lang w:val="en-US" w:eastAsia="zh-CN"/>
              </w:rPr>
              <w:t>得3-4</w:t>
            </w:r>
            <w:r>
              <w:rPr>
                <w:rFonts w:hint="eastAsia" w:ascii="宋体" w:hAnsi="宋体" w:eastAsia="宋体" w:cs="宋体"/>
                <w:color w:val="auto"/>
                <w:szCs w:val="21"/>
                <w:highlight w:val="none"/>
              </w:rPr>
              <w:t>分；</w:t>
            </w:r>
          </w:p>
          <w:p w14:paraId="5CF75EA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针对本项目的合理化建议不够合理</w:t>
            </w:r>
            <w:r>
              <w:rPr>
                <w:rFonts w:hint="eastAsia" w:ascii="宋体" w:hAnsi="宋体" w:eastAsia="宋体" w:cs="宋体"/>
                <w:color w:val="auto"/>
                <w:szCs w:val="21"/>
                <w:highlight w:val="none"/>
                <w:lang w:val="en-US" w:eastAsia="zh-CN"/>
              </w:rPr>
              <w:t>得1-2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D061D85">
            <w:pPr>
              <w:rPr>
                <w:rFonts w:ascii="Times New Roman" w:hAnsi="Times New Roman" w:eastAsia="宋体" w:cs="Times New Roman"/>
                <w:color w:val="auto"/>
                <w:szCs w:val="20"/>
                <w:highlight w:val="none"/>
              </w:rPr>
            </w:pPr>
            <w:r>
              <w:rPr>
                <w:rFonts w:hint="eastAsia" w:ascii="宋体" w:hAnsi="宋体" w:eastAsia="宋体" w:cs="宋体"/>
                <w:color w:val="auto"/>
                <w:szCs w:val="21"/>
                <w:highlight w:val="none"/>
              </w:rPr>
              <w:t>未提及不得分。</w:t>
            </w:r>
          </w:p>
        </w:tc>
        <w:tc>
          <w:tcPr>
            <w:tcW w:w="392" w:type="pct"/>
            <w:noWrap w:val="0"/>
            <w:vAlign w:val="center"/>
          </w:tcPr>
          <w:p w14:paraId="78ED70D3">
            <w:pPr>
              <w:adjustRightInd w:val="0"/>
              <w:snapToGrid w:val="0"/>
              <w:spacing w:before="120" w:line="360" w:lineRule="auto"/>
              <w:rPr>
                <w:rFonts w:ascii="宋体" w:hAnsi="宋体" w:eastAsia="宋体" w:cs="Times New Roman"/>
                <w:color w:val="auto"/>
                <w:kern w:val="0"/>
                <w:szCs w:val="21"/>
                <w:highlight w:val="none"/>
              </w:rPr>
            </w:pPr>
          </w:p>
        </w:tc>
      </w:tr>
    </w:tbl>
    <w:p w14:paraId="2B3055BA">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（三） 说明</w:t>
      </w:r>
    </w:p>
    <w:p w14:paraId="72BCEEF4">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1、每个供应商的综合得分=商务技术得分（所有磋商小组成员打分的算术平均值）＋报价得分。</w:t>
      </w:r>
    </w:p>
    <w:p w14:paraId="3E525A6E">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磋商小组推荐综合得分最高的供应商为成交供应商（如果得分相同则按最终磋商后投标报价从低到高顺序依次推荐为成交候选供应商；如果综合得分相同最终磋商后投标报价也相同，则抽签决定），并编写评审报告。</w:t>
      </w:r>
    </w:p>
    <w:p w14:paraId="351CAB34">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3、所有分值计算保留小数点后二位，小数点后第三位起四舍五入。</w:t>
      </w:r>
    </w:p>
    <w:p w14:paraId="1AC4850E">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其它参见本磋商文件第三部分：“供应商须知”中的相关内容，未尽事宜按有关法律规定处理。</w:t>
      </w:r>
    </w:p>
    <w:p w14:paraId="18639B81">
      <w:pPr>
        <w:rPr>
          <w:color w:val="auto"/>
          <w:highlight w:val="none"/>
        </w:rPr>
      </w:pPr>
    </w:p>
    <w:sectPr>
      <w:headerReference r:id="rId13" w:type="default"/>
      <w:footerReference r:id="rId14"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Microsoft Sans Serif"/>
    <w:panose1 w:val="020F0502020204030204"/>
    <w:charset w:val="00"/>
    <w:family w:val="auto"/>
    <w:pitch w:val="default"/>
    <w:sig w:usb0="00000000" w:usb1="00000000" w:usb2="00000000" w:usb3="00000000" w:csb0="FFFFFFF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D0EE">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248F">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66D2">
    <w:pPr>
      <w:spacing w:before="1" w:line="183" w:lineRule="auto"/>
      <w:ind w:left="6875"/>
      <w:rPr>
        <w:rFonts w:ascii="宋体" w:hAnsi="宋体" w:eastAsia="宋体" w:cs="宋体"/>
        <w:kern w:val="0"/>
        <w:sz w:val="27"/>
        <w:szCs w:val="27"/>
      </w:rPr>
    </w:pPr>
    <w:r>
      <w:rPr>
        <w:rFonts w:eastAsia="宋体" w:cs="Times New Roman"/>
        <w:kern w:val="0"/>
        <w:sz w:val="27"/>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5CB10">
                          <w:pPr>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 PAGE  \* MERGEFORMAT </w:instrText>
                          </w:r>
                          <w:r>
                            <w:rPr>
                              <w:rFonts w:eastAsia="宋体" w:cs="Times New Roman"/>
                              <w:sz w:val="18"/>
                              <w:szCs w:val="18"/>
                            </w:rPr>
                            <w:fldChar w:fldCharType="separate"/>
                          </w:r>
                          <w:r>
                            <w:rPr>
                              <w:rFonts w:eastAsia="宋体" w:cs="Times New Roman"/>
                              <w:sz w:val="18"/>
                              <w:szCs w:val="18"/>
                            </w:rPr>
                            <w:t>36</w:t>
                          </w:r>
                          <w:r>
                            <w:rPr>
                              <w:rFonts w:eastAsia="宋体"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195CB10">
                    <w:pPr>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 PAGE  \* MERGEFORMAT </w:instrText>
                    </w:r>
                    <w:r>
                      <w:rPr>
                        <w:rFonts w:eastAsia="宋体" w:cs="Times New Roman"/>
                        <w:sz w:val="18"/>
                        <w:szCs w:val="18"/>
                      </w:rPr>
                      <w:fldChar w:fldCharType="separate"/>
                    </w:r>
                    <w:r>
                      <w:rPr>
                        <w:rFonts w:eastAsia="宋体" w:cs="Times New Roman"/>
                        <w:sz w:val="18"/>
                        <w:szCs w:val="18"/>
                      </w:rPr>
                      <w:t>36</w:t>
                    </w:r>
                    <w:r>
                      <w:rPr>
                        <w:rFonts w:eastAsia="宋体" w:cs="Times New Roman"/>
                        <w:sz w:val="18"/>
                        <w:szCs w:val="18"/>
                      </w:rPr>
                      <w:fldChar w:fldCharType="end"/>
                    </w:r>
                  </w:p>
                </w:txbxContent>
              </v:textbox>
            </v:shape>
          </w:pict>
        </mc:Fallback>
      </mc:AlternateContent>
    </w:r>
    <w:r>
      <w:rPr>
        <w:rFonts w:eastAsia="宋体" w:cs="Times New Roman"/>
        <w:kern w:val="0"/>
        <w:sz w:val="27"/>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22A8B">
                          <w:pPr>
                            <w:rPr>
                              <w:rFonts w:eastAsia="宋体" w:cs="Times New Roman"/>
                              <w:kern w:val="0"/>
                              <w:sz w:val="20"/>
                              <w:szCs w:val="20"/>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3322A8B">
                    <w:pPr>
                      <w:rPr>
                        <w:rFonts w:eastAsia="宋体" w:cs="Times New Roman"/>
                        <w:kern w:val="0"/>
                        <w:sz w:val="20"/>
                        <w:szCs w:val="2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A627">
    <w:pPr>
      <w:snapToGrid w:val="0"/>
      <w:ind w:right="-59"/>
      <w:jc w:val="center"/>
      <w:rPr>
        <w:rFonts w:ascii="仿宋_GB2312" w:hAnsi="宋体" w:eastAsia="仿宋_GB2312" w:cs="Times New Roman"/>
        <w:color w:val="000000"/>
        <w:sz w:val="18"/>
      </w:rPr>
    </w:pPr>
    <w:r>
      <w:rPr>
        <w:rFonts w:ascii="宋体" w:hAnsi="宋体" w:eastAsia="仿宋_GB2312" w:cs="Times New Roman"/>
        <w:color w:val="000000"/>
        <w:sz w:val="18"/>
      </w:rPr>
      <w:fldChar w:fldCharType="begin"/>
    </w:r>
    <w:r>
      <w:rPr>
        <w:rStyle w:val="35"/>
        <w:rFonts w:ascii="宋体" w:hAnsi="Calibri" w:eastAsia="宋体" w:cs="Times New Roman"/>
        <w:color w:val="000000"/>
        <w:sz w:val="18"/>
      </w:rPr>
      <w:instrText xml:space="preserve"> PAGE </w:instrText>
    </w:r>
    <w:r>
      <w:rPr>
        <w:rFonts w:ascii="宋体" w:hAnsi="宋体" w:eastAsia="仿宋_GB2312" w:cs="Times New Roman"/>
        <w:color w:val="000000"/>
        <w:sz w:val="18"/>
      </w:rPr>
      <w:fldChar w:fldCharType="separate"/>
    </w:r>
    <w:r>
      <w:rPr>
        <w:rStyle w:val="35"/>
        <w:rFonts w:ascii="宋体" w:hAnsi="Calibri" w:eastAsia="宋体" w:cs="Times New Roman"/>
        <w:color w:val="000000"/>
        <w:sz w:val="18"/>
      </w:rPr>
      <w:t>38</w:t>
    </w:r>
    <w:r>
      <w:rPr>
        <w:rFonts w:ascii="宋体" w:hAnsi="宋体" w:eastAsia="仿宋_GB2312" w:cs="Times New Roman"/>
        <w:color w:val="000000"/>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248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BCA6">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DD5BCA6">
                    <w:pPr>
                      <w:pStyle w:val="2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C7A4">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9B45D">
                          <w:pPr>
                            <w:pStyle w:val="2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0F9B45D">
                    <w:pPr>
                      <w:pStyle w:val="2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602C">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8D2F">
                          <w:pPr>
                            <w:pStyle w:val="2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8F8D2F">
                    <w:pPr>
                      <w:pStyle w:val="2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70C0">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9C07">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22CA">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03C1">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3C6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3"/>
      <w:lvlText w:val="%1."/>
      <w:lvlJc w:val="left"/>
      <w:pPr>
        <w:tabs>
          <w:tab w:val="left" w:pos="780"/>
        </w:tabs>
        <w:ind w:left="780" w:hanging="360"/>
      </w:pPr>
    </w:lvl>
  </w:abstractNum>
  <w:abstractNum w:abstractNumId="1">
    <w:nsid w:val="D6BD7CE0"/>
    <w:multiLevelType w:val="singleLevel"/>
    <w:tmpl w:val="D6BD7CE0"/>
    <w:lvl w:ilvl="0" w:tentative="0">
      <w:start w:val="10"/>
      <w:numFmt w:val="chineseCounting"/>
      <w:suff w:val="nothing"/>
      <w:lvlText w:val="%1、"/>
      <w:lvlJc w:val="left"/>
      <w:rPr>
        <w:rFonts w:hint="eastAsia"/>
      </w:rPr>
    </w:lvl>
  </w:abstractNum>
  <w:abstractNum w:abstractNumId="2">
    <w:nsid w:val="D88AD1C3"/>
    <w:multiLevelType w:val="singleLevel"/>
    <w:tmpl w:val="D88AD1C3"/>
    <w:lvl w:ilvl="0" w:tentative="0">
      <w:start w:val="1"/>
      <w:numFmt w:val="decimal"/>
      <w:suff w:val="space"/>
      <w:lvlText w:val="%1."/>
      <w:lvlJc w:val="left"/>
    </w:lvl>
  </w:abstractNum>
  <w:abstractNum w:abstractNumId="3">
    <w:nsid w:val="F2D21E1F"/>
    <w:multiLevelType w:val="singleLevel"/>
    <w:tmpl w:val="F2D21E1F"/>
    <w:lvl w:ilvl="0" w:tentative="0">
      <w:start w:val="6"/>
      <w:numFmt w:val="chineseCounting"/>
      <w:suff w:val="space"/>
      <w:lvlText w:val="第%1部分"/>
      <w:lvlJc w:val="left"/>
      <w:rPr>
        <w:rFonts w:hint="eastAsia"/>
      </w:rPr>
    </w:lvl>
  </w:abstractNum>
  <w:abstractNum w:abstractNumId="4">
    <w:nsid w:val="00000016"/>
    <w:multiLevelType w:val="singleLevel"/>
    <w:tmpl w:val="00000016"/>
    <w:lvl w:ilvl="0" w:tentative="0">
      <w:start w:val="1"/>
      <w:numFmt w:val="decimal"/>
      <w:suff w:val="nothing"/>
      <w:lvlText w:val="（%1）"/>
      <w:lvlJc w:val="left"/>
    </w:lvl>
  </w:abstractNum>
  <w:abstractNum w:abstractNumId="5">
    <w:nsid w:val="0692BD52"/>
    <w:multiLevelType w:val="singleLevel"/>
    <w:tmpl w:val="0692BD52"/>
    <w:lvl w:ilvl="0" w:tentative="0">
      <w:start w:val="5"/>
      <w:numFmt w:val="chineseCounting"/>
      <w:suff w:val="space"/>
      <w:lvlText w:val="第%1部分"/>
      <w:lvlJc w:val="left"/>
      <w:pPr>
        <w:ind w:left="4041" w:firstLine="0"/>
      </w:pPr>
      <w:rPr>
        <w:rFonts w:hint="eastAsia"/>
      </w:rPr>
    </w:lvl>
  </w:abstractNum>
  <w:abstractNum w:abstractNumId="6">
    <w:nsid w:val="18E9552C"/>
    <w:multiLevelType w:val="multilevel"/>
    <w:tmpl w:val="18E9552C"/>
    <w:lvl w:ilvl="0" w:tentative="0">
      <w:start w:val="1"/>
      <w:numFmt w:val="decimal"/>
      <w:pStyle w:val="123"/>
      <w:suff w:val="space"/>
      <w:lvlText w:val="%1"/>
      <w:lvlJc w:val="left"/>
      <w:pPr>
        <w:ind w:left="1278" w:hanging="432"/>
      </w:pPr>
      <w:rPr>
        <w:rFonts w:hint="eastAsia"/>
      </w:rPr>
    </w:lvl>
    <w:lvl w:ilvl="1" w:tentative="0">
      <w:start w:val="1"/>
      <w:numFmt w:val="decimal"/>
      <w:suff w:val="space"/>
      <w:lvlText w:val="%1.%2"/>
      <w:lvlJc w:val="left"/>
      <w:pPr>
        <w:ind w:left="1002" w:hanging="576"/>
      </w:pPr>
      <w:rPr>
        <w:rFonts w:hint="eastAsia"/>
      </w:rPr>
    </w:lvl>
    <w:lvl w:ilvl="2" w:tentative="0">
      <w:start w:val="1"/>
      <w:numFmt w:val="decimal"/>
      <w:suff w:val="space"/>
      <w:lvlText w:val="%1.%2.%3"/>
      <w:lvlJc w:val="left"/>
      <w:pPr>
        <w:ind w:left="1146" w:hanging="720"/>
      </w:pPr>
      <w:rPr>
        <w:rFonts w:hint="eastAsia"/>
      </w:rPr>
    </w:lvl>
    <w:lvl w:ilvl="3" w:tentative="0">
      <w:start w:val="1"/>
      <w:numFmt w:val="decimal"/>
      <w:suff w:val="space"/>
      <w:lvlText w:val="%1.%2.%3.%4"/>
      <w:lvlJc w:val="left"/>
      <w:pPr>
        <w:ind w:left="1290" w:hanging="864"/>
      </w:pPr>
      <w:rPr>
        <w:rFonts w:hint="eastAsia"/>
      </w:rPr>
    </w:lvl>
    <w:lvl w:ilvl="4" w:tentative="0">
      <w:start w:val="1"/>
      <w:numFmt w:val="decimal"/>
      <w:suff w:val="space"/>
      <w:lvlText w:val="%1.%2.%3.%4.%5"/>
      <w:lvlJc w:val="left"/>
      <w:pPr>
        <w:ind w:left="426" w:firstLine="0"/>
      </w:pPr>
      <w:rPr>
        <w:rFonts w:hint="eastAsia"/>
      </w:rPr>
    </w:lvl>
    <w:lvl w:ilvl="5" w:tentative="0">
      <w:start w:val="1"/>
      <w:numFmt w:val="decimal"/>
      <w:suff w:val="space"/>
      <w:lvlText w:val="%1.%2.%3.%4.%5.%6"/>
      <w:lvlJc w:val="left"/>
      <w:pPr>
        <w:ind w:left="426" w:firstLine="0"/>
      </w:pPr>
      <w:rPr>
        <w:rFonts w:hint="eastAsia"/>
      </w:rPr>
    </w:lvl>
    <w:lvl w:ilvl="6" w:tentative="0">
      <w:start w:val="1"/>
      <w:numFmt w:val="decimal"/>
      <w:lvlText w:val="%1.%2.%3.%4.%5.%6.%7"/>
      <w:lvlJc w:val="left"/>
      <w:pPr>
        <w:ind w:left="1722" w:hanging="1296"/>
      </w:pPr>
      <w:rPr>
        <w:rFonts w:hint="eastAsia"/>
      </w:rPr>
    </w:lvl>
    <w:lvl w:ilvl="7" w:tentative="0">
      <w:start w:val="1"/>
      <w:numFmt w:val="decimal"/>
      <w:lvlText w:val="%1.%2.%3.%4.%5.%6.%7.%8"/>
      <w:lvlJc w:val="left"/>
      <w:pPr>
        <w:ind w:left="1866" w:hanging="1440"/>
      </w:pPr>
      <w:rPr>
        <w:rFonts w:hint="eastAsia"/>
      </w:rPr>
    </w:lvl>
    <w:lvl w:ilvl="8" w:tentative="0">
      <w:start w:val="1"/>
      <w:numFmt w:val="decimal"/>
      <w:lvlText w:val="%1.%2.%3.%4.%5.%6.%7.%8.%9"/>
      <w:lvlJc w:val="left"/>
      <w:pPr>
        <w:ind w:left="2010" w:hanging="1584"/>
      </w:pPr>
      <w:rPr>
        <w:rFonts w:hint="eastAsia"/>
      </w:rPr>
    </w:lvl>
  </w:abstractNum>
  <w:abstractNum w:abstractNumId="7">
    <w:nsid w:val="299320C1"/>
    <w:multiLevelType w:val="multilevel"/>
    <w:tmpl w:val="299320C1"/>
    <w:lvl w:ilvl="0" w:tentative="0">
      <w:start w:val="1"/>
      <w:numFmt w:val="decimal"/>
      <w:pStyle w:val="97"/>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5A7D84C9"/>
    <w:multiLevelType w:val="singleLevel"/>
    <w:tmpl w:val="5A7D84C9"/>
    <w:lvl w:ilvl="0" w:tentative="0">
      <w:start w:val="2"/>
      <w:numFmt w:val="decimal"/>
      <w:suff w:val="nothing"/>
      <w:lvlText w:val="%1、"/>
      <w:lvlJc w:val="left"/>
    </w:lvl>
  </w:abstractNum>
  <w:abstractNum w:abstractNumId="11">
    <w:nsid w:val="6A4D50DB"/>
    <w:multiLevelType w:val="multilevel"/>
    <w:tmpl w:val="6A4D50DB"/>
    <w:lvl w:ilvl="0" w:tentative="0">
      <w:start w:val="1"/>
      <w:numFmt w:val="decimal"/>
      <w:pStyle w:val="100"/>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AF5237"/>
    <w:multiLevelType w:val="multilevel"/>
    <w:tmpl w:val="6FAF5237"/>
    <w:lvl w:ilvl="0" w:tentative="0">
      <w:start w:val="1"/>
      <w:numFmt w:val="decimal"/>
      <w:pStyle w:val="7"/>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2"/>
  </w:num>
  <w:num w:numId="2">
    <w:abstractNumId w:val="9"/>
  </w:num>
  <w:num w:numId="3">
    <w:abstractNumId w:val="0"/>
  </w:num>
  <w:num w:numId="4">
    <w:abstractNumId w:val="7"/>
  </w:num>
  <w:num w:numId="5">
    <w:abstractNumId w:val="11"/>
  </w:num>
  <w:num w:numId="6">
    <w:abstractNumId w:val="6"/>
  </w:num>
  <w:num w:numId="7">
    <w:abstractNumId w:val="4"/>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ZmMzN2NiNGRkZDM0NjJiMTgzNWYwMjUzZDU1MzcifQ=="/>
  </w:docVars>
  <w:rsids>
    <w:rsidRoot w:val="00AD123C"/>
    <w:rsid w:val="00002479"/>
    <w:rsid w:val="00006656"/>
    <w:rsid w:val="00006E75"/>
    <w:rsid w:val="00014C31"/>
    <w:rsid w:val="00015927"/>
    <w:rsid w:val="00016E85"/>
    <w:rsid w:val="00041696"/>
    <w:rsid w:val="000455BF"/>
    <w:rsid w:val="0004614B"/>
    <w:rsid w:val="0005282B"/>
    <w:rsid w:val="0005481F"/>
    <w:rsid w:val="000733A6"/>
    <w:rsid w:val="000748B8"/>
    <w:rsid w:val="000854B1"/>
    <w:rsid w:val="000859C4"/>
    <w:rsid w:val="00096A09"/>
    <w:rsid w:val="000A1DC7"/>
    <w:rsid w:val="000A6476"/>
    <w:rsid w:val="000B78EC"/>
    <w:rsid w:val="000D1F68"/>
    <w:rsid w:val="000D2A4E"/>
    <w:rsid w:val="000E116D"/>
    <w:rsid w:val="000E377B"/>
    <w:rsid w:val="000E65BE"/>
    <w:rsid w:val="000E7651"/>
    <w:rsid w:val="00140E0E"/>
    <w:rsid w:val="00150CD0"/>
    <w:rsid w:val="00164AE8"/>
    <w:rsid w:val="00167C8F"/>
    <w:rsid w:val="001939C9"/>
    <w:rsid w:val="00195D91"/>
    <w:rsid w:val="001A4185"/>
    <w:rsid w:val="001A63E6"/>
    <w:rsid w:val="001B07E2"/>
    <w:rsid w:val="001B1EF0"/>
    <w:rsid w:val="001B26AA"/>
    <w:rsid w:val="001C15EC"/>
    <w:rsid w:val="001D5555"/>
    <w:rsid w:val="001D5F83"/>
    <w:rsid w:val="001F5946"/>
    <w:rsid w:val="0021226C"/>
    <w:rsid w:val="00213CF0"/>
    <w:rsid w:val="00216F0A"/>
    <w:rsid w:val="00242403"/>
    <w:rsid w:val="00254ED5"/>
    <w:rsid w:val="002562A8"/>
    <w:rsid w:val="00256365"/>
    <w:rsid w:val="0026382A"/>
    <w:rsid w:val="00271B5D"/>
    <w:rsid w:val="0028146F"/>
    <w:rsid w:val="002826A8"/>
    <w:rsid w:val="002836ED"/>
    <w:rsid w:val="00284949"/>
    <w:rsid w:val="00297F4B"/>
    <w:rsid w:val="002A2186"/>
    <w:rsid w:val="002A35B3"/>
    <w:rsid w:val="002A5BE5"/>
    <w:rsid w:val="002A5E20"/>
    <w:rsid w:val="002B1359"/>
    <w:rsid w:val="002B1D1A"/>
    <w:rsid w:val="002C3ABC"/>
    <w:rsid w:val="002D4910"/>
    <w:rsid w:val="002E30F7"/>
    <w:rsid w:val="00303D0F"/>
    <w:rsid w:val="003100E0"/>
    <w:rsid w:val="00310B37"/>
    <w:rsid w:val="0031268C"/>
    <w:rsid w:val="003144F5"/>
    <w:rsid w:val="00333B8F"/>
    <w:rsid w:val="003479AC"/>
    <w:rsid w:val="00355A35"/>
    <w:rsid w:val="0036769A"/>
    <w:rsid w:val="00374062"/>
    <w:rsid w:val="00376369"/>
    <w:rsid w:val="00377FB7"/>
    <w:rsid w:val="0039159D"/>
    <w:rsid w:val="003956EF"/>
    <w:rsid w:val="00396B27"/>
    <w:rsid w:val="00397472"/>
    <w:rsid w:val="003A2466"/>
    <w:rsid w:val="003B40A1"/>
    <w:rsid w:val="003C36D1"/>
    <w:rsid w:val="003D15B4"/>
    <w:rsid w:val="003E277A"/>
    <w:rsid w:val="003E2E64"/>
    <w:rsid w:val="003E5811"/>
    <w:rsid w:val="004005B7"/>
    <w:rsid w:val="00406880"/>
    <w:rsid w:val="00410DE6"/>
    <w:rsid w:val="00413BF1"/>
    <w:rsid w:val="00414010"/>
    <w:rsid w:val="004147CC"/>
    <w:rsid w:val="0041503D"/>
    <w:rsid w:val="004214C9"/>
    <w:rsid w:val="00430037"/>
    <w:rsid w:val="00431DF9"/>
    <w:rsid w:val="00432088"/>
    <w:rsid w:val="00435B13"/>
    <w:rsid w:val="00442E20"/>
    <w:rsid w:val="00444FD9"/>
    <w:rsid w:val="00452FE8"/>
    <w:rsid w:val="004541B6"/>
    <w:rsid w:val="00454A9F"/>
    <w:rsid w:val="00454B1B"/>
    <w:rsid w:val="00457FAF"/>
    <w:rsid w:val="00464EF5"/>
    <w:rsid w:val="004676EB"/>
    <w:rsid w:val="0047210E"/>
    <w:rsid w:val="00472568"/>
    <w:rsid w:val="00475399"/>
    <w:rsid w:val="00477B25"/>
    <w:rsid w:val="004838CE"/>
    <w:rsid w:val="004851A8"/>
    <w:rsid w:val="00495314"/>
    <w:rsid w:val="004A7431"/>
    <w:rsid w:val="004C7FDA"/>
    <w:rsid w:val="004D461D"/>
    <w:rsid w:val="004E2C49"/>
    <w:rsid w:val="004E495C"/>
    <w:rsid w:val="004F0CF2"/>
    <w:rsid w:val="004F2785"/>
    <w:rsid w:val="00500C8C"/>
    <w:rsid w:val="00503DD9"/>
    <w:rsid w:val="005108FC"/>
    <w:rsid w:val="0051583C"/>
    <w:rsid w:val="005266CB"/>
    <w:rsid w:val="00534C60"/>
    <w:rsid w:val="00534E15"/>
    <w:rsid w:val="00540CFA"/>
    <w:rsid w:val="00543CF1"/>
    <w:rsid w:val="0054589F"/>
    <w:rsid w:val="005512C8"/>
    <w:rsid w:val="00554F78"/>
    <w:rsid w:val="00555A7E"/>
    <w:rsid w:val="00562AE2"/>
    <w:rsid w:val="00567E9B"/>
    <w:rsid w:val="00572170"/>
    <w:rsid w:val="00573683"/>
    <w:rsid w:val="00581A22"/>
    <w:rsid w:val="00587E08"/>
    <w:rsid w:val="00591E24"/>
    <w:rsid w:val="00595CD3"/>
    <w:rsid w:val="005A2A9A"/>
    <w:rsid w:val="005B384D"/>
    <w:rsid w:val="005B3EF9"/>
    <w:rsid w:val="005B7647"/>
    <w:rsid w:val="005C0CA4"/>
    <w:rsid w:val="005C2268"/>
    <w:rsid w:val="005C3318"/>
    <w:rsid w:val="005C4BA8"/>
    <w:rsid w:val="005D1474"/>
    <w:rsid w:val="005D1896"/>
    <w:rsid w:val="005D40E8"/>
    <w:rsid w:val="005D44F2"/>
    <w:rsid w:val="005D613F"/>
    <w:rsid w:val="005E12FE"/>
    <w:rsid w:val="005E28B7"/>
    <w:rsid w:val="005E489C"/>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804B0"/>
    <w:rsid w:val="006836A3"/>
    <w:rsid w:val="0069058E"/>
    <w:rsid w:val="006A1BC7"/>
    <w:rsid w:val="006A4F61"/>
    <w:rsid w:val="006A7B2B"/>
    <w:rsid w:val="006B1740"/>
    <w:rsid w:val="006D0D40"/>
    <w:rsid w:val="006D6CDF"/>
    <w:rsid w:val="006E51BD"/>
    <w:rsid w:val="006E5498"/>
    <w:rsid w:val="006F1027"/>
    <w:rsid w:val="006F63F9"/>
    <w:rsid w:val="00700B5E"/>
    <w:rsid w:val="00704D3D"/>
    <w:rsid w:val="007135C8"/>
    <w:rsid w:val="00717979"/>
    <w:rsid w:val="007211DA"/>
    <w:rsid w:val="0073240C"/>
    <w:rsid w:val="00740FC6"/>
    <w:rsid w:val="007419C8"/>
    <w:rsid w:val="0075197D"/>
    <w:rsid w:val="00752CD4"/>
    <w:rsid w:val="00753DD1"/>
    <w:rsid w:val="00754210"/>
    <w:rsid w:val="00756DFA"/>
    <w:rsid w:val="00756DFD"/>
    <w:rsid w:val="00756E83"/>
    <w:rsid w:val="0076310E"/>
    <w:rsid w:val="007640E4"/>
    <w:rsid w:val="00774E57"/>
    <w:rsid w:val="0079025D"/>
    <w:rsid w:val="007B3D34"/>
    <w:rsid w:val="007C6EDD"/>
    <w:rsid w:val="008033A8"/>
    <w:rsid w:val="00810FDB"/>
    <w:rsid w:val="00812589"/>
    <w:rsid w:val="00813EC1"/>
    <w:rsid w:val="00817CD8"/>
    <w:rsid w:val="00817D84"/>
    <w:rsid w:val="008302B5"/>
    <w:rsid w:val="00830418"/>
    <w:rsid w:val="008326E6"/>
    <w:rsid w:val="00833906"/>
    <w:rsid w:val="00841F63"/>
    <w:rsid w:val="008451B8"/>
    <w:rsid w:val="00846168"/>
    <w:rsid w:val="00861570"/>
    <w:rsid w:val="00867E91"/>
    <w:rsid w:val="0087139A"/>
    <w:rsid w:val="008726C7"/>
    <w:rsid w:val="00882DE6"/>
    <w:rsid w:val="00893AD8"/>
    <w:rsid w:val="00896358"/>
    <w:rsid w:val="008C1F35"/>
    <w:rsid w:val="008C28FC"/>
    <w:rsid w:val="008C3A24"/>
    <w:rsid w:val="008C5C3B"/>
    <w:rsid w:val="008C7B03"/>
    <w:rsid w:val="008D3FE6"/>
    <w:rsid w:val="008D519A"/>
    <w:rsid w:val="008D547B"/>
    <w:rsid w:val="008E57EC"/>
    <w:rsid w:val="008F0330"/>
    <w:rsid w:val="008F786D"/>
    <w:rsid w:val="00907A3E"/>
    <w:rsid w:val="00916F6D"/>
    <w:rsid w:val="009237D6"/>
    <w:rsid w:val="00935391"/>
    <w:rsid w:val="0095158A"/>
    <w:rsid w:val="00962B28"/>
    <w:rsid w:val="009634A8"/>
    <w:rsid w:val="00985F4D"/>
    <w:rsid w:val="0099104D"/>
    <w:rsid w:val="0099384C"/>
    <w:rsid w:val="009945D5"/>
    <w:rsid w:val="009A7E9F"/>
    <w:rsid w:val="009B30C5"/>
    <w:rsid w:val="009C1772"/>
    <w:rsid w:val="009D4C98"/>
    <w:rsid w:val="009D57BA"/>
    <w:rsid w:val="009D69F3"/>
    <w:rsid w:val="009E31C0"/>
    <w:rsid w:val="00A2134A"/>
    <w:rsid w:val="00A215AB"/>
    <w:rsid w:val="00A21A4F"/>
    <w:rsid w:val="00A270F7"/>
    <w:rsid w:val="00A306D4"/>
    <w:rsid w:val="00A30D57"/>
    <w:rsid w:val="00A367AF"/>
    <w:rsid w:val="00A418EB"/>
    <w:rsid w:val="00A70820"/>
    <w:rsid w:val="00A83D4E"/>
    <w:rsid w:val="00A87F63"/>
    <w:rsid w:val="00A96B41"/>
    <w:rsid w:val="00AA561B"/>
    <w:rsid w:val="00AA57EA"/>
    <w:rsid w:val="00AA7982"/>
    <w:rsid w:val="00AA7D02"/>
    <w:rsid w:val="00AB06AB"/>
    <w:rsid w:val="00AD123C"/>
    <w:rsid w:val="00AD783C"/>
    <w:rsid w:val="00AF1E6D"/>
    <w:rsid w:val="00AF5356"/>
    <w:rsid w:val="00AF7076"/>
    <w:rsid w:val="00B01117"/>
    <w:rsid w:val="00B058C9"/>
    <w:rsid w:val="00B21EB5"/>
    <w:rsid w:val="00B23CD9"/>
    <w:rsid w:val="00B24EA7"/>
    <w:rsid w:val="00B352F6"/>
    <w:rsid w:val="00B359F2"/>
    <w:rsid w:val="00B37447"/>
    <w:rsid w:val="00B42312"/>
    <w:rsid w:val="00B47ADF"/>
    <w:rsid w:val="00B52CA1"/>
    <w:rsid w:val="00B661CB"/>
    <w:rsid w:val="00B71454"/>
    <w:rsid w:val="00B77137"/>
    <w:rsid w:val="00B80838"/>
    <w:rsid w:val="00B83D17"/>
    <w:rsid w:val="00B87AB7"/>
    <w:rsid w:val="00B90255"/>
    <w:rsid w:val="00B949D9"/>
    <w:rsid w:val="00BA43BF"/>
    <w:rsid w:val="00BA7A2C"/>
    <w:rsid w:val="00BB2DD5"/>
    <w:rsid w:val="00BB3293"/>
    <w:rsid w:val="00BB5E3B"/>
    <w:rsid w:val="00BC4A7A"/>
    <w:rsid w:val="00BC5C88"/>
    <w:rsid w:val="00BD0F01"/>
    <w:rsid w:val="00BD6188"/>
    <w:rsid w:val="00BE30B7"/>
    <w:rsid w:val="00BE7BFE"/>
    <w:rsid w:val="00BF46B2"/>
    <w:rsid w:val="00C018A5"/>
    <w:rsid w:val="00C02BA8"/>
    <w:rsid w:val="00C03AF4"/>
    <w:rsid w:val="00C0742E"/>
    <w:rsid w:val="00C10E7A"/>
    <w:rsid w:val="00C114C4"/>
    <w:rsid w:val="00C12E72"/>
    <w:rsid w:val="00C137EF"/>
    <w:rsid w:val="00C13F39"/>
    <w:rsid w:val="00C43D34"/>
    <w:rsid w:val="00C4625E"/>
    <w:rsid w:val="00C832A1"/>
    <w:rsid w:val="00C84A63"/>
    <w:rsid w:val="00C87510"/>
    <w:rsid w:val="00C87608"/>
    <w:rsid w:val="00C93522"/>
    <w:rsid w:val="00C936CE"/>
    <w:rsid w:val="00CA0517"/>
    <w:rsid w:val="00CA1277"/>
    <w:rsid w:val="00CA46C2"/>
    <w:rsid w:val="00CB13E2"/>
    <w:rsid w:val="00CB336C"/>
    <w:rsid w:val="00CC1EFE"/>
    <w:rsid w:val="00CC447D"/>
    <w:rsid w:val="00CC487A"/>
    <w:rsid w:val="00CD0952"/>
    <w:rsid w:val="00CD23D9"/>
    <w:rsid w:val="00CF0119"/>
    <w:rsid w:val="00CF4DE4"/>
    <w:rsid w:val="00CF64F0"/>
    <w:rsid w:val="00D05A88"/>
    <w:rsid w:val="00D06CF7"/>
    <w:rsid w:val="00D13E66"/>
    <w:rsid w:val="00D162CF"/>
    <w:rsid w:val="00D22AE0"/>
    <w:rsid w:val="00D26F90"/>
    <w:rsid w:val="00D27265"/>
    <w:rsid w:val="00D358AB"/>
    <w:rsid w:val="00D36C28"/>
    <w:rsid w:val="00D42264"/>
    <w:rsid w:val="00D46336"/>
    <w:rsid w:val="00D46B98"/>
    <w:rsid w:val="00D63185"/>
    <w:rsid w:val="00D72B14"/>
    <w:rsid w:val="00D74E69"/>
    <w:rsid w:val="00D83457"/>
    <w:rsid w:val="00D84E08"/>
    <w:rsid w:val="00D862FC"/>
    <w:rsid w:val="00D94D76"/>
    <w:rsid w:val="00DA1E5B"/>
    <w:rsid w:val="00DA2399"/>
    <w:rsid w:val="00DE25B0"/>
    <w:rsid w:val="00DF1CD0"/>
    <w:rsid w:val="00DF77E5"/>
    <w:rsid w:val="00E012AA"/>
    <w:rsid w:val="00E03307"/>
    <w:rsid w:val="00E156ED"/>
    <w:rsid w:val="00E2482A"/>
    <w:rsid w:val="00E307D9"/>
    <w:rsid w:val="00E32B0C"/>
    <w:rsid w:val="00E3636F"/>
    <w:rsid w:val="00E4399C"/>
    <w:rsid w:val="00E46A16"/>
    <w:rsid w:val="00E46A4A"/>
    <w:rsid w:val="00E6139A"/>
    <w:rsid w:val="00E7430A"/>
    <w:rsid w:val="00E762B6"/>
    <w:rsid w:val="00E76A2D"/>
    <w:rsid w:val="00E76B7C"/>
    <w:rsid w:val="00E80C6F"/>
    <w:rsid w:val="00E91D49"/>
    <w:rsid w:val="00E93DDA"/>
    <w:rsid w:val="00E93FDD"/>
    <w:rsid w:val="00E96593"/>
    <w:rsid w:val="00EA6208"/>
    <w:rsid w:val="00ED04A5"/>
    <w:rsid w:val="00ED33BE"/>
    <w:rsid w:val="00ED4631"/>
    <w:rsid w:val="00ED697F"/>
    <w:rsid w:val="00EE0B12"/>
    <w:rsid w:val="00EF1725"/>
    <w:rsid w:val="00F108A2"/>
    <w:rsid w:val="00F11242"/>
    <w:rsid w:val="00F14725"/>
    <w:rsid w:val="00F15718"/>
    <w:rsid w:val="00F3112D"/>
    <w:rsid w:val="00F331C4"/>
    <w:rsid w:val="00F34C4C"/>
    <w:rsid w:val="00F3767E"/>
    <w:rsid w:val="00F5364D"/>
    <w:rsid w:val="00F55A88"/>
    <w:rsid w:val="00F60542"/>
    <w:rsid w:val="00F614BD"/>
    <w:rsid w:val="00F7124E"/>
    <w:rsid w:val="00F72543"/>
    <w:rsid w:val="00F746E3"/>
    <w:rsid w:val="00F840E5"/>
    <w:rsid w:val="00F8466F"/>
    <w:rsid w:val="00F90FEA"/>
    <w:rsid w:val="00F916AA"/>
    <w:rsid w:val="00FB17FF"/>
    <w:rsid w:val="00FC1F2A"/>
    <w:rsid w:val="00FD116B"/>
    <w:rsid w:val="00FD19B5"/>
    <w:rsid w:val="00FD7754"/>
    <w:rsid w:val="00FE632D"/>
    <w:rsid w:val="00FF6CF3"/>
    <w:rsid w:val="011661C8"/>
    <w:rsid w:val="012046FE"/>
    <w:rsid w:val="01243755"/>
    <w:rsid w:val="012D40FB"/>
    <w:rsid w:val="01466323"/>
    <w:rsid w:val="01877B89"/>
    <w:rsid w:val="018956BE"/>
    <w:rsid w:val="018A2C2E"/>
    <w:rsid w:val="018F401C"/>
    <w:rsid w:val="01AD6B33"/>
    <w:rsid w:val="01C21E02"/>
    <w:rsid w:val="01DE7BAE"/>
    <w:rsid w:val="02071FAC"/>
    <w:rsid w:val="020871DD"/>
    <w:rsid w:val="0210580B"/>
    <w:rsid w:val="023B1CCF"/>
    <w:rsid w:val="024E6DB1"/>
    <w:rsid w:val="02507945"/>
    <w:rsid w:val="02510D8D"/>
    <w:rsid w:val="0254538A"/>
    <w:rsid w:val="02626A3B"/>
    <w:rsid w:val="02672FE9"/>
    <w:rsid w:val="026A1E41"/>
    <w:rsid w:val="027642BB"/>
    <w:rsid w:val="02783976"/>
    <w:rsid w:val="028E2EA4"/>
    <w:rsid w:val="02913DDE"/>
    <w:rsid w:val="02970D2B"/>
    <w:rsid w:val="02B44793"/>
    <w:rsid w:val="02E15B78"/>
    <w:rsid w:val="02E1742E"/>
    <w:rsid w:val="02EB5541"/>
    <w:rsid w:val="02F23FB1"/>
    <w:rsid w:val="031F63BF"/>
    <w:rsid w:val="03265180"/>
    <w:rsid w:val="03452566"/>
    <w:rsid w:val="034A5176"/>
    <w:rsid w:val="03724AB0"/>
    <w:rsid w:val="03774D25"/>
    <w:rsid w:val="03AB47B9"/>
    <w:rsid w:val="03B12173"/>
    <w:rsid w:val="03B46D44"/>
    <w:rsid w:val="03C81EB9"/>
    <w:rsid w:val="03D75F1C"/>
    <w:rsid w:val="03D9591F"/>
    <w:rsid w:val="03D96696"/>
    <w:rsid w:val="03E34AEF"/>
    <w:rsid w:val="03F153F7"/>
    <w:rsid w:val="040408BE"/>
    <w:rsid w:val="04344B81"/>
    <w:rsid w:val="045026BA"/>
    <w:rsid w:val="0463723E"/>
    <w:rsid w:val="046A3F2A"/>
    <w:rsid w:val="04A46316"/>
    <w:rsid w:val="04B14D67"/>
    <w:rsid w:val="04B31786"/>
    <w:rsid w:val="04BD0DFC"/>
    <w:rsid w:val="04C91AEC"/>
    <w:rsid w:val="04E63E1F"/>
    <w:rsid w:val="04E67A8F"/>
    <w:rsid w:val="04F432ED"/>
    <w:rsid w:val="0512539C"/>
    <w:rsid w:val="05173448"/>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A46194"/>
    <w:rsid w:val="06C96B53"/>
    <w:rsid w:val="06DA76A6"/>
    <w:rsid w:val="070044A0"/>
    <w:rsid w:val="071A1A15"/>
    <w:rsid w:val="0736260C"/>
    <w:rsid w:val="073A4D43"/>
    <w:rsid w:val="07465C79"/>
    <w:rsid w:val="074E1FF0"/>
    <w:rsid w:val="079C0106"/>
    <w:rsid w:val="07A82060"/>
    <w:rsid w:val="07B151DF"/>
    <w:rsid w:val="07BD4721"/>
    <w:rsid w:val="07BE7067"/>
    <w:rsid w:val="07D000D6"/>
    <w:rsid w:val="07D164DC"/>
    <w:rsid w:val="07D272E7"/>
    <w:rsid w:val="07ED0F1B"/>
    <w:rsid w:val="07ED7B83"/>
    <w:rsid w:val="080041F1"/>
    <w:rsid w:val="080D2DB2"/>
    <w:rsid w:val="08177BFB"/>
    <w:rsid w:val="08183C31"/>
    <w:rsid w:val="0848193D"/>
    <w:rsid w:val="085F5E6F"/>
    <w:rsid w:val="086F3C10"/>
    <w:rsid w:val="087A5675"/>
    <w:rsid w:val="087F4F63"/>
    <w:rsid w:val="088445CA"/>
    <w:rsid w:val="08854BC4"/>
    <w:rsid w:val="08AD3E7A"/>
    <w:rsid w:val="08C873E5"/>
    <w:rsid w:val="08D259A6"/>
    <w:rsid w:val="09063A89"/>
    <w:rsid w:val="09081661"/>
    <w:rsid w:val="091E4A80"/>
    <w:rsid w:val="091F194C"/>
    <w:rsid w:val="09256402"/>
    <w:rsid w:val="09347107"/>
    <w:rsid w:val="09492C72"/>
    <w:rsid w:val="09580489"/>
    <w:rsid w:val="0972268D"/>
    <w:rsid w:val="09745A6F"/>
    <w:rsid w:val="099A348C"/>
    <w:rsid w:val="09AB4B27"/>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80FC2"/>
    <w:rsid w:val="0AE147AE"/>
    <w:rsid w:val="0AE23FDD"/>
    <w:rsid w:val="0AEE1AA0"/>
    <w:rsid w:val="0AFD00AF"/>
    <w:rsid w:val="0B06722F"/>
    <w:rsid w:val="0B2A0ADC"/>
    <w:rsid w:val="0B425692"/>
    <w:rsid w:val="0B5D3FA7"/>
    <w:rsid w:val="0B663FE4"/>
    <w:rsid w:val="0BBF0626"/>
    <w:rsid w:val="0BC30977"/>
    <w:rsid w:val="0BCD0288"/>
    <w:rsid w:val="0BE75DFE"/>
    <w:rsid w:val="0BF51C5A"/>
    <w:rsid w:val="0BF61216"/>
    <w:rsid w:val="0BF916F0"/>
    <w:rsid w:val="0C2C0005"/>
    <w:rsid w:val="0C551044"/>
    <w:rsid w:val="0C5568C0"/>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20056"/>
    <w:rsid w:val="0E8B043C"/>
    <w:rsid w:val="0EB135A6"/>
    <w:rsid w:val="0EB3174C"/>
    <w:rsid w:val="0EB62316"/>
    <w:rsid w:val="0EBA1BDF"/>
    <w:rsid w:val="0EDD4E1E"/>
    <w:rsid w:val="0EE619C8"/>
    <w:rsid w:val="0EE75620"/>
    <w:rsid w:val="0EED39AD"/>
    <w:rsid w:val="0EF45919"/>
    <w:rsid w:val="0F0A4F0B"/>
    <w:rsid w:val="0F3E6A4C"/>
    <w:rsid w:val="0F5F6058"/>
    <w:rsid w:val="0F6C4B4E"/>
    <w:rsid w:val="0F760441"/>
    <w:rsid w:val="0F866B6F"/>
    <w:rsid w:val="0F884120"/>
    <w:rsid w:val="0F88424E"/>
    <w:rsid w:val="0F9D0225"/>
    <w:rsid w:val="0FA05331"/>
    <w:rsid w:val="0FAD2FDB"/>
    <w:rsid w:val="0FC17DB6"/>
    <w:rsid w:val="0FCF4323"/>
    <w:rsid w:val="0FD0377A"/>
    <w:rsid w:val="0FD850C3"/>
    <w:rsid w:val="0FF14FD3"/>
    <w:rsid w:val="0FF35410"/>
    <w:rsid w:val="101161C0"/>
    <w:rsid w:val="101358F3"/>
    <w:rsid w:val="102B1DDB"/>
    <w:rsid w:val="102C5EBC"/>
    <w:rsid w:val="102D26D6"/>
    <w:rsid w:val="1057019A"/>
    <w:rsid w:val="10835476"/>
    <w:rsid w:val="108E7739"/>
    <w:rsid w:val="10925802"/>
    <w:rsid w:val="109F13C8"/>
    <w:rsid w:val="10A462FC"/>
    <w:rsid w:val="10A87933"/>
    <w:rsid w:val="10B93774"/>
    <w:rsid w:val="10BB15FD"/>
    <w:rsid w:val="10BF410A"/>
    <w:rsid w:val="10D67EA8"/>
    <w:rsid w:val="10F974F3"/>
    <w:rsid w:val="112A3887"/>
    <w:rsid w:val="1139537F"/>
    <w:rsid w:val="116F0DC7"/>
    <w:rsid w:val="116F3B76"/>
    <w:rsid w:val="11AC2AC8"/>
    <w:rsid w:val="11BC43D5"/>
    <w:rsid w:val="11E17F41"/>
    <w:rsid w:val="11F33019"/>
    <w:rsid w:val="12373D7C"/>
    <w:rsid w:val="12877198"/>
    <w:rsid w:val="128C6186"/>
    <w:rsid w:val="129C3353"/>
    <w:rsid w:val="12A0631D"/>
    <w:rsid w:val="12B8170E"/>
    <w:rsid w:val="13033399"/>
    <w:rsid w:val="131E6E81"/>
    <w:rsid w:val="13285E5F"/>
    <w:rsid w:val="13376915"/>
    <w:rsid w:val="133D4C4F"/>
    <w:rsid w:val="135D53D8"/>
    <w:rsid w:val="135F7841"/>
    <w:rsid w:val="13707D0F"/>
    <w:rsid w:val="13A438C9"/>
    <w:rsid w:val="13B266FA"/>
    <w:rsid w:val="13DF7E95"/>
    <w:rsid w:val="13EF483C"/>
    <w:rsid w:val="13F51833"/>
    <w:rsid w:val="13FA31A3"/>
    <w:rsid w:val="13FE0DE6"/>
    <w:rsid w:val="141F1EA3"/>
    <w:rsid w:val="142525F6"/>
    <w:rsid w:val="14262BBC"/>
    <w:rsid w:val="143A6CDD"/>
    <w:rsid w:val="143B6859"/>
    <w:rsid w:val="144D6507"/>
    <w:rsid w:val="14626397"/>
    <w:rsid w:val="14670D03"/>
    <w:rsid w:val="1470197E"/>
    <w:rsid w:val="14722D5A"/>
    <w:rsid w:val="147818BD"/>
    <w:rsid w:val="147E365F"/>
    <w:rsid w:val="14864ED2"/>
    <w:rsid w:val="14A031F7"/>
    <w:rsid w:val="14AC75D1"/>
    <w:rsid w:val="14CB3D19"/>
    <w:rsid w:val="14E50979"/>
    <w:rsid w:val="14EA44AE"/>
    <w:rsid w:val="14FB33B0"/>
    <w:rsid w:val="15176E68"/>
    <w:rsid w:val="15457079"/>
    <w:rsid w:val="15464DBD"/>
    <w:rsid w:val="1560004E"/>
    <w:rsid w:val="157978A7"/>
    <w:rsid w:val="15836ACC"/>
    <w:rsid w:val="158560F0"/>
    <w:rsid w:val="158D32A4"/>
    <w:rsid w:val="158E3B60"/>
    <w:rsid w:val="159E66DF"/>
    <w:rsid w:val="15C50828"/>
    <w:rsid w:val="15C673AA"/>
    <w:rsid w:val="15DA0B27"/>
    <w:rsid w:val="15DD6AE4"/>
    <w:rsid w:val="16007076"/>
    <w:rsid w:val="16081B79"/>
    <w:rsid w:val="160A1024"/>
    <w:rsid w:val="1619180F"/>
    <w:rsid w:val="1619332D"/>
    <w:rsid w:val="162C3EA9"/>
    <w:rsid w:val="16696C3A"/>
    <w:rsid w:val="168230EE"/>
    <w:rsid w:val="16B42C6D"/>
    <w:rsid w:val="16B44038"/>
    <w:rsid w:val="16CA6421"/>
    <w:rsid w:val="16E3253A"/>
    <w:rsid w:val="16FF332A"/>
    <w:rsid w:val="170F2220"/>
    <w:rsid w:val="17277D08"/>
    <w:rsid w:val="173D7F05"/>
    <w:rsid w:val="17576637"/>
    <w:rsid w:val="1786162A"/>
    <w:rsid w:val="1795312B"/>
    <w:rsid w:val="17A9546E"/>
    <w:rsid w:val="17BD5739"/>
    <w:rsid w:val="17D145A4"/>
    <w:rsid w:val="180C6776"/>
    <w:rsid w:val="182021D4"/>
    <w:rsid w:val="18220E96"/>
    <w:rsid w:val="182512BF"/>
    <w:rsid w:val="1865122A"/>
    <w:rsid w:val="186D2733"/>
    <w:rsid w:val="187A78B1"/>
    <w:rsid w:val="18AB271E"/>
    <w:rsid w:val="18B349D2"/>
    <w:rsid w:val="18C31263"/>
    <w:rsid w:val="18CE4126"/>
    <w:rsid w:val="18CF2C0D"/>
    <w:rsid w:val="18F6152C"/>
    <w:rsid w:val="18F660E1"/>
    <w:rsid w:val="190218BC"/>
    <w:rsid w:val="19044C8D"/>
    <w:rsid w:val="19095170"/>
    <w:rsid w:val="190B3EB3"/>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D743D6"/>
    <w:rsid w:val="19DD1B54"/>
    <w:rsid w:val="19E9387A"/>
    <w:rsid w:val="19F8389D"/>
    <w:rsid w:val="19FD53CC"/>
    <w:rsid w:val="1A085D7B"/>
    <w:rsid w:val="1A126FFF"/>
    <w:rsid w:val="1A6F52BC"/>
    <w:rsid w:val="1A7E6AE3"/>
    <w:rsid w:val="1A8104CE"/>
    <w:rsid w:val="1A8B76FC"/>
    <w:rsid w:val="1A962D35"/>
    <w:rsid w:val="1AA63E86"/>
    <w:rsid w:val="1AB07CF9"/>
    <w:rsid w:val="1AB80C4F"/>
    <w:rsid w:val="1ABD2642"/>
    <w:rsid w:val="1AC014C6"/>
    <w:rsid w:val="1AC937CA"/>
    <w:rsid w:val="1AF2282B"/>
    <w:rsid w:val="1B0872FE"/>
    <w:rsid w:val="1B2714BF"/>
    <w:rsid w:val="1B332452"/>
    <w:rsid w:val="1B3542FB"/>
    <w:rsid w:val="1B372BF3"/>
    <w:rsid w:val="1B4D0258"/>
    <w:rsid w:val="1B4F322C"/>
    <w:rsid w:val="1B526935"/>
    <w:rsid w:val="1B666C5A"/>
    <w:rsid w:val="1B72638E"/>
    <w:rsid w:val="1B88418F"/>
    <w:rsid w:val="1B8E7098"/>
    <w:rsid w:val="1B9334AB"/>
    <w:rsid w:val="1B95436C"/>
    <w:rsid w:val="1BC673F4"/>
    <w:rsid w:val="1BE542F6"/>
    <w:rsid w:val="1BE61271"/>
    <w:rsid w:val="1C080823"/>
    <w:rsid w:val="1C0F3379"/>
    <w:rsid w:val="1C2A2148"/>
    <w:rsid w:val="1C372D35"/>
    <w:rsid w:val="1C3B1844"/>
    <w:rsid w:val="1C3F0B2B"/>
    <w:rsid w:val="1C3F5535"/>
    <w:rsid w:val="1C517832"/>
    <w:rsid w:val="1C5F5C93"/>
    <w:rsid w:val="1C6918C8"/>
    <w:rsid w:val="1C853160"/>
    <w:rsid w:val="1C8614EE"/>
    <w:rsid w:val="1C994A38"/>
    <w:rsid w:val="1CA95FA5"/>
    <w:rsid w:val="1CDE50C9"/>
    <w:rsid w:val="1CDE6FC2"/>
    <w:rsid w:val="1D1F1816"/>
    <w:rsid w:val="1D241315"/>
    <w:rsid w:val="1D5D6BFA"/>
    <w:rsid w:val="1D76469C"/>
    <w:rsid w:val="1D7A5A02"/>
    <w:rsid w:val="1D874016"/>
    <w:rsid w:val="1DC0717D"/>
    <w:rsid w:val="1DCD6092"/>
    <w:rsid w:val="1DD60B63"/>
    <w:rsid w:val="1DDC1F50"/>
    <w:rsid w:val="1DE85F85"/>
    <w:rsid w:val="1E2B70E6"/>
    <w:rsid w:val="1E334108"/>
    <w:rsid w:val="1E52330B"/>
    <w:rsid w:val="1E656D52"/>
    <w:rsid w:val="1E6C0F09"/>
    <w:rsid w:val="1E74103D"/>
    <w:rsid w:val="1E98461D"/>
    <w:rsid w:val="1ED72245"/>
    <w:rsid w:val="1EF34087"/>
    <w:rsid w:val="1EF61FE3"/>
    <w:rsid w:val="1F165A39"/>
    <w:rsid w:val="1F2764CB"/>
    <w:rsid w:val="1F2E4D87"/>
    <w:rsid w:val="1F370402"/>
    <w:rsid w:val="1F4965B4"/>
    <w:rsid w:val="1F657758"/>
    <w:rsid w:val="1F7A1381"/>
    <w:rsid w:val="1FA92E7A"/>
    <w:rsid w:val="1FBE4C66"/>
    <w:rsid w:val="1FC15ED6"/>
    <w:rsid w:val="1FDA663E"/>
    <w:rsid w:val="1FDE3E7F"/>
    <w:rsid w:val="1FDF0BF0"/>
    <w:rsid w:val="1FF931A4"/>
    <w:rsid w:val="1FFB3074"/>
    <w:rsid w:val="20216B08"/>
    <w:rsid w:val="204D10CE"/>
    <w:rsid w:val="20572904"/>
    <w:rsid w:val="207260A6"/>
    <w:rsid w:val="20801DCF"/>
    <w:rsid w:val="209B4C6C"/>
    <w:rsid w:val="209F4C92"/>
    <w:rsid w:val="20AC0D84"/>
    <w:rsid w:val="20BF1892"/>
    <w:rsid w:val="20BF1B00"/>
    <w:rsid w:val="20C646ED"/>
    <w:rsid w:val="20F054FC"/>
    <w:rsid w:val="20FD1BD5"/>
    <w:rsid w:val="211232C3"/>
    <w:rsid w:val="21220770"/>
    <w:rsid w:val="212E34D3"/>
    <w:rsid w:val="21493133"/>
    <w:rsid w:val="214E3852"/>
    <w:rsid w:val="215B2A68"/>
    <w:rsid w:val="217162CA"/>
    <w:rsid w:val="217429A0"/>
    <w:rsid w:val="21B453CD"/>
    <w:rsid w:val="21B65314"/>
    <w:rsid w:val="21D51C02"/>
    <w:rsid w:val="21E309B4"/>
    <w:rsid w:val="2204765C"/>
    <w:rsid w:val="220B4FC1"/>
    <w:rsid w:val="220E5787"/>
    <w:rsid w:val="22261B58"/>
    <w:rsid w:val="22314D91"/>
    <w:rsid w:val="22363ABA"/>
    <w:rsid w:val="223801BA"/>
    <w:rsid w:val="224145D9"/>
    <w:rsid w:val="22421B7E"/>
    <w:rsid w:val="22423D4D"/>
    <w:rsid w:val="22521696"/>
    <w:rsid w:val="225C52DB"/>
    <w:rsid w:val="22983240"/>
    <w:rsid w:val="22A25CBE"/>
    <w:rsid w:val="22C2587A"/>
    <w:rsid w:val="22CE1777"/>
    <w:rsid w:val="22D51980"/>
    <w:rsid w:val="22E471BA"/>
    <w:rsid w:val="2308424D"/>
    <w:rsid w:val="23201166"/>
    <w:rsid w:val="23220A0D"/>
    <w:rsid w:val="23340988"/>
    <w:rsid w:val="23345488"/>
    <w:rsid w:val="233B7D85"/>
    <w:rsid w:val="233F3F0D"/>
    <w:rsid w:val="23431403"/>
    <w:rsid w:val="234E1DDC"/>
    <w:rsid w:val="236B3B35"/>
    <w:rsid w:val="239C0FFB"/>
    <w:rsid w:val="23A2671F"/>
    <w:rsid w:val="23A777BF"/>
    <w:rsid w:val="23AE1F8A"/>
    <w:rsid w:val="23B54A00"/>
    <w:rsid w:val="23BF5B07"/>
    <w:rsid w:val="23C11C5C"/>
    <w:rsid w:val="24042E63"/>
    <w:rsid w:val="240A0711"/>
    <w:rsid w:val="24212C3A"/>
    <w:rsid w:val="244758B5"/>
    <w:rsid w:val="24677CF2"/>
    <w:rsid w:val="246D1F1E"/>
    <w:rsid w:val="24814E6B"/>
    <w:rsid w:val="248C507E"/>
    <w:rsid w:val="24997B76"/>
    <w:rsid w:val="24B214DF"/>
    <w:rsid w:val="24C55441"/>
    <w:rsid w:val="24CD25BB"/>
    <w:rsid w:val="24EA2442"/>
    <w:rsid w:val="25066F97"/>
    <w:rsid w:val="250B023F"/>
    <w:rsid w:val="251972A9"/>
    <w:rsid w:val="25571864"/>
    <w:rsid w:val="256F3E21"/>
    <w:rsid w:val="25751D88"/>
    <w:rsid w:val="2576799B"/>
    <w:rsid w:val="25831D72"/>
    <w:rsid w:val="259F5720"/>
    <w:rsid w:val="25A5447F"/>
    <w:rsid w:val="25A617AE"/>
    <w:rsid w:val="25B814E1"/>
    <w:rsid w:val="25E178B5"/>
    <w:rsid w:val="26082254"/>
    <w:rsid w:val="261772AA"/>
    <w:rsid w:val="263F63D5"/>
    <w:rsid w:val="26590D71"/>
    <w:rsid w:val="265B0FE1"/>
    <w:rsid w:val="26696967"/>
    <w:rsid w:val="266B0064"/>
    <w:rsid w:val="268B074F"/>
    <w:rsid w:val="26910958"/>
    <w:rsid w:val="26BC42F5"/>
    <w:rsid w:val="26EB3CF0"/>
    <w:rsid w:val="270E0153"/>
    <w:rsid w:val="270E40AA"/>
    <w:rsid w:val="27181169"/>
    <w:rsid w:val="271E6FB9"/>
    <w:rsid w:val="2737249E"/>
    <w:rsid w:val="27436E82"/>
    <w:rsid w:val="275A67FD"/>
    <w:rsid w:val="275F095E"/>
    <w:rsid w:val="27654608"/>
    <w:rsid w:val="27797AB1"/>
    <w:rsid w:val="279E6FF6"/>
    <w:rsid w:val="27B3359B"/>
    <w:rsid w:val="27CD1F3C"/>
    <w:rsid w:val="27CD689D"/>
    <w:rsid w:val="27D60D6C"/>
    <w:rsid w:val="27E320D9"/>
    <w:rsid w:val="27E3760C"/>
    <w:rsid w:val="27EB6534"/>
    <w:rsid w:val="27EE36C4"/>
    <w:rsid w:val="27F1607E"/>
    <w:rsid w:val="280349D7"/>
    <w:rsid w:val="2817182A"/>
    <w:rsid w:val="28261BB8"/>
    <w:rsid w:val="28335EBE"/>
    <w:rsid w:val="28433F5A"/>
    <w:rsid w:val="2853664C"/>
    <w:rsid w:val="28550493"/>
    <w:rsid w:val="28552D17"/>
    <w:rsid w:val="28601E8A"/>
    <w:rsid w:val="288362E8"/>
    <w:rsid w:val="28896366"/>
    <w:rsid w:val="2895052E"/>
    <w:rsid w:val="289736D6"/>
    <w:rsid w:val="28985AC2"/>
    <w:rsid w:val="289C331B"/>
    <w:rsid w:val="28E43CDE"/>
    <w:rsid w:val="28E63CF2"/>
    <w:rsid w:val="28F5126C"/>
    <w:rsid w:val="29154883"/>
    <w:rsid w:val="29173E5A"/>
    <w:rsid w:val="292D7DCD"/>
    <w:rsid w:val="294E1229"/>
    <w:rsid w:val="29521386"/>
    <w:rsid w:val="29560C18"/>
    <w:rsid w:val="2958769B"/>
    <w:rsid w:val="296A5517"/>
    <w:rsid w:val="297B758F"/>
    <w:rsid w:val="297C6FB2"/>
    <w:rsid w:val="298862E6"/>
    <w:rsid w:val="29921C14"/>
    <w:rsid w:val="299D5118"/>
    <w:rsid w:val="29BB2216"/>
    <w:rsid w:val="29BE47B1"/>
    <w:rsid w:val="29CA5A85"/>
    <w:rsid w:val="29CC67D1"/>
    <w:rsid w:val="29DA6910"/>
    <w:rsid w:val="29F217F2"/>
    <w:rsid w:val="29F808E9"/>
    <w:rsid w:val="2A012A6E"/>
    <w:rsid w:val="2A0C5DDF"/>
    <w:rsid w:val="2A2B33FF"/>
    <w:rsid w:val="2A304FCF"/>
    <w:rsid w:val="2A524929"/>
    <w:rsid w:val="2A541BFD"/>
    <w:rsid w:val="2A5E6C51"/>
    <w:rsid w:val="2A8074A3"/>
    <w:rsid w:val="2A8159C0"/>
    <w:rsid w:val="2A850A03"/>
    <w:rsid w:val="2A8517F1"/>
    <w:rsid w:val="2A9D30F3"/>
    <w:rsid w:val="2AC72F37"/>
    <w:rsid w:val="2ADC66BD"/>
    <w:rsid w:val="2B065713"/>
    <w:rsid w:val="2B151A29"/>
    <w:rsid w:val="2B193FC0"/>
    <w:rsid w:val="2B1C6FAD"/>
    <w:rsid w:val="2B2A5BCC"/>
    <w:rsid w:val="2B3214D4"/>
    <w:rsid w:val="2B6677EB"/>
    <w:rsid w:val="2B773505"/>
    <w:rsid w:val="2B7C7736"/>
    <w:rsid w:val="2B99077E"/>
    <w:rsid w:val="2BB1692C"/>
    <w:rsid w:val="2BB172BF"/>
    <w:rsid w:val="2C053F31"/>
    <w:rsid w:val="2C226165"/>
    <w:rsid w:val="2C3F64D6"/>
    <w:rsid w:val="2C48645E"/>
    <w:rsid w:val="2C8903AA"/>
    <w:rsid w:val="2C8A3730"/>
    <w:rsid w:val="2C8E46BB"/>
    <w:rsid w:val="2CAD13E0"/>
    <w:rsid w:val="2CC42329"/>
    <w:rsid w:val="2CC45CC4"/>
    <w:rsid w:val="2CD51280"/>
    <w:rsid w:val="2CF9108B"/>
    <w:rsid w:val="2CFE588F"/>
    <w:rsid w:val="2CFF7734"/>
    <w:rsid w:val="2D1265F1"/>
    <w:rsid w:val="2D2467C2"/>
    <w:rsid w:val="2D5462C2"/>
    <w:rsid w:val="2D5F44D3"/>
    <w:rsid w:val="2D62568F"/>
    <w:rsid w:val="2D676C30"/>
    <w:rsid w:val="2D822A3D"/>
    <w:rsid w:val="2D951C26"/>
    <w:rsid w:val="2D993F70"/>
    <w:rsid w:val="2DA15059"/>
    <w:rsid w:val="2DB66F7C"/>
    <w:rsid w:val="2DB955A0"/>
    <w:rsid w:val="2DC053F7"/>
    <w:rsid w:val="2DC21CCF"/>
    <w:rsid w:val="2DC82EEC"/>
    <w:rsid w:val="2DEE7D7B"/>
    <w:rsid w:val="2E106AAA"/>
    <w:rsid w:val="2E624ED5"/>
    <w:rsid w:val="2E796377"/>
    <w:rsid w:val="2E7F4945"/>
    <w:rsid w:val="2EA1320D"/>
    <w:rsid w:val="2EA23E74"/>
    <w:rsid w:val="2ECA0B93"/>
    <w:rsid w:val="2F102AEF"/>
    <w:rsid w:val="2F150D9E"/>
    <w:rsid w:val="2F256289"/>
    <w:rsid w:val="2F3807D8"/>
    <w:rsid w:val="2F3D41D5"/>
    <w:rsid w:val="2F445100"/>
    <w:rsid w:val="2F4D2A21"/>
    <w:rsid w:val="2F6A0B86"/>
    <w:rsid w:val="2F6D2FFD"/>
    <w:rsid w:val="2F7C0DC0"/>
    <w:rsid w:val="2F8640AD"/>
    <w:rsid w:val="2F881D30"/>
    <w:rsid w:val="2F8A7474"/>
    <w:rsid w:val="2F8D7E33"/>
    <w:rsid w:val="2FA22FDD"/>
    <w:rsid w:val="2FB238C3"/>
    <w:rsid w:val="2FC4769A"/>
    <w:rsid w:val="2FD1710B"/>
    <w:rsid w:val="2FE504B7"/>
    <w:rsid w:val="2FEF2E6C"/>
    <w:rsid w:val="301816D1"/>
    <w:rsid w:val="302C3EDF"/>
    <w:rsid w:val="30320F9B"/>
    <w:rsid w:val="303711F7"/>
    <w:rsid w:val="303A4ACA"/>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14F93"/>
    <w:rsid w:val="316505E8"/>
    <w:rsid w:val="316B5D6B"/>
    <w:rsid w:val="316F63CC"/>
    <w:rsid w:val="3171622A"/>
    <w:rsid w:val="319F31B6"/>
    <w:rsid w:val="31AB370F"/>
    <w:rsid w:val="31B609AA"/>
    <w:rsid w:val="31BD6EAD"/>
    <w:rsid w:val="31FA63F4"/>
    <w:rsid w:val="321B7C44"/>
    <w:rsid w:val="3236068C"/>
    <w:rsid w:val="323A31E0"/>
    <w:rsid w:val="324F7BB6"/>
    <w:rsid w:val="32775632"/>
    <w:rsid w:val="3283005E"/>
    <w:rsid w:val="32933C8B"/>
    <w:rsid w:val="32A3414C"/>
    <w:rsid w:val="32B34312"/>
    <w:rsid w:val="32B563C3"/>
    <w:rsid w:val="32D3116D"/>
    <w:rsid w:val="32D46BDF"/>
    <w:rsid w:val="32DB1B8F"/>
    <w:rsid w:val="32F774DE"/>
    <w:rsid w:val="32F97CD5"/>
    <w:rsid w:val="32FA0C51"/>
    <w:rsid w:val="32FF4295"/>
    <w:rsid w:val="33101B57"/>
    <w:rsid w:val="33353669"/>
    <w:rsid w:val="334A2082"/>
    <w:rsid w:val="334D4B04"/>
    <w:rsid w:val="335F1FA1"/>
    <w:rsid w:val="33634795"/>
    <w:rsid w:val="336F00EB"/>
    <w:rsid w:val="33711628"/>
    <w:rsid w:val="33AB014B"/>
    <w:rsid w:val="33B230EA"/>
    <w:rsid w:val="33C86452"/>
    <w:rsid w:val="33DB6CCF"/>
    <w:rsid w:val="33E57690"/>
    <w:rsid w:val="34066E74"/>
    <w:rsid w:val="34081E12"/>
    <w:rsid w:val="34190852"/>
    <w:rsid w:val="343A32E7"/>
    <w:rsid w:val="344A7E45"/>
    <w:rsid w:val="344D2F56"/>
    <w:rsid w:val="34587F41"/>
    <w:rsid w:val="345D2C7E"/>
    <w:rsid w:val="34665F56"/>
    <w:rsid w:val="34924FC4"/>
    <w:rsid w:val="34C21B8F"/>
    <w:rsid w:val="34C5119C"/>
    <w:rsid w:val="35115864"/>
    <w:rsid w:val="352132A8"/>
    <w:rsid w:val="353A5EDD"/>
    <w:rsid w:val="35583F76"/>
    <w:rsid w:val="357A4D33"/>
    <w:rsid w:val="358F2980"/>
    <w:rsid w:val="35903655"/>
    <w:rsid w:val="35924F3A"/>
    <w:rsid w:val="35B939CB"/>
    <w:rsid w:val="35EC69C3"/>
    <w:rsid w:val="362A1D29"/>
    <w:rsid w:val="36446861"/>
    <w:rsid w:val="364B233B"/>
    <w:rsid w:val="365B3550"/>
    <w:rsid w:val="367F0C5B"/>
    <w:rsid w:val="36861FAD"/>
    <w:rsid w:val="36AD7E4C"/>
    <w:rsid w:val="36AF3D05"/>
    <w:rsid w:val="36D45A97"/>
    <w:rsid w:val="36E8727B"/>
    <w:rsid w:val="36ED73BD"/>
    <w:rsid w:val="36F30888"/>
    <w:rsid w:val="36FE64ED"/>
    <w:rsid w:val="37097BC8"/>
    <w:rsid w:val="371A4D75"/>
    <w:rsid w:val="373108D4"/>
    <w:rsid w:val="37464DDD"/>
    <w:rsid w:val="3762330F"/>
    <w:rsid w:val="37AB1B1C"/>
    <w:rsid w:val="37AE0570"/>
    <w:rsid w:val="37AE4516"/>
    <w:rsid w:val="37B879C4"/>
    <w:rsid w:val="37C048A7"/>
    <w:rsid w:val="37C80CBF"/>
    <w:rsid w:val="37CF0BB3"/>
    <w:rsid w:val="37D03E44"/>
    <w:rsid w:val="37D451C8"/>
    <w:rsid w:val="37D73BD3"/>
    <w:rsid w:val="37E0537C"/>
    <w:rsid w:val="37E1079C"/>
    <w:rsid w:val="37F04D2F"/>
    <w:rsid w:val="37F30E4E"/>
    <w:rsid w:val="37F8487A"/>
    <w:rsid w:val="37FD0952"/>
    <w:rsid w:val="37FE4B49"/>
    <w:rsid w:val="38143841"/>
    <w:rsid w:val="38282D4D"/>
    <w:rsid w:val="38411385"/>
    <w:rsid w:val="3870629E"/>
    <w:rsid w:val="38B24BC5"/>
    <w:rsid w:val="38B94C45"/>
    <w:rsid w:val="38BC2C05"/>
    <w:rsid w:val="38D5699F"/>
    <w:rsid w:val="38D65704"/>
    <w:rsid w:val="38DC74A7"/>
    <w:rsid w:val="38E100C2"/>
    <w:rsid w:val="390741F4"/>
    <w:rsid w:val="390A4620"/>
    <w:rsid w:val="39203F8F"/>
    <w:rsid w:val="392A169D"/>
    <w:rsid w:val="39582851"/>
    <w:rsid w:val="397C648E"/>
    <w:rsid w:val="397F7EFD"/>
    <w:rsid w:val="398259F2"/>
    <w:rsid w:val="39830F07"/>
    <w:rsid w:val="39905D4A"/>
    <w:rsid w:val="39D11041"/>
    <w:rsid w:val="39D864CC"/>
    <w:rsid w:val="39E34343"/>
    <w:rsid w:val="39F73541"/>
    <w:rsid w:val="3A016262"/>
    <w:rsid w:val="3A174DE2"/>
    <w:rsid w:val="3A3C3DC7"/>
    <w:rsid w:val="3A420088"/>
    <w:rsid w:val="3A926509"/>
    <w:rsid w:val="3AE71281"/>
    <w:rsid w:val="3AEF0890"/>
    <w:rsid w:val="3AFE561F"/>
    <w:rsid w:val="3B200FE2"/>
    <w:rsid w:val="3B501A8F"/>
    <w:rsid w:val="3B682D5E"/>
    <w:rsid w:val="3B9F54F4"/>
    <w:rsid w:val="3BBA28BA"/>
    <w:rsid w:val="3BBE7E61"/>
    <w:rsid w:val="3C0123CD"/>
    <w:rsid w:val="3C0C1C5B"/>
    <w:rsid w:val="3C2E4B74"/>
    <w:rsid w:val="3C4679CD"/>
    <w:rsid w:val="3C5357A3"/>
    <w:rsid w:val="3C586AFE"/>
    <w:rsid w:val="3C7478DC"/>
    <w:rsid w:val="3C774586"/>
    <w:rsid w:val="3C8B5092"/>
    <w:rsid w:val="3C9E1CF4"/>
    <w:rsid w:val="3CC16A39"/>
    <w:rsid w:val="3CC80A7A"/>
    <w:rsid w:val="3CC90259"/>
    <w:rsid w:val="3CFB02FD"/>
    <w:rsid w:val="3D102D73"/>
    <w:rsid w:val="3D16557E"/>
    <w:rsid w:val="3D25198E"/>
    <w:rsid w:val="3D2B3DE3"/>
    <w:rsid w:val="3D457D8D"/>
    <w:rsid w:val="3D493642"/>
    <w:rsid w:val="3D793A53"/>
    <w:rsid w:val="3D976558"/>
    <w:rsid w:val="3DBC7D0E"/>
    <w:rsid w:val="3DC76955"/>
    <w:rsid w:val="3DE0100D"/>
    <w:rsid w:val="3DE250CD"/>
    <w:rsid w:val="3DE8227C"/>
    <w:rsid w:val="3DF8596C"/>
    <w:rsid w:val="3E122CDE"/>
    <w:rsid w:val="3E3146F2"/>
    <w:rsid w:val="3E5566D4"/>
    <w:rsid w:val="3E5959DA"/>
    <w:rsid w:val="3E8D3841"/>
    <w:rsid w:val="3E8E68AE"/>
    <w:rsid w:val="3E8F07CB"/>
    <w:rsid w:val="3E90021E"/>
    <w:rsid w:val="3EB04CBF"/>
    <w:rsid w:val="3ED53889"/>
    <w:rsid w:val="3EE94729"/>
    <w:rsid w:val="3EEC2507"/>
    <w:rsid w:val="3F265ADB"/>
    <w:rsid w:val="3F265BE8"/>
    <w:rsid w:val="3F2D0E1A"/>
    <w:rsid w:val="3F361F2E"/>
    <w:rsid w:val="3F3C08E5"/>
    <w:rsid w:val="3F5235EF"/>
    <w:rsid w:val="3F542A99"/>
    <w:rsid w:val="3F6144EA"/>
    <w:rsid w:val="3FA41611"/>
    <w:rsid w:val="3FAB28A3"/>
    <w:rsid w:val="3FCD602E"/>
    <w:rsid w:val="3FDB6F47"/>
    <w:rsid w:val="3FDD0D6E"/>
    <w:rsid w:val="404A0617"/>
    <w:rsid w:val="404C1345"/>
    <w:rsid w:val="406202E6"/>
    <w:rsid w:val="40677C90"/>
    <w:rsid w:val="407401D4"/>
    <w:rsid w:val="40876843"/>
    <w:rsid w:val="40896EEE"/>
    <w:rsid w:val="408F7CD8"/>
    <w:rsid w:val="409C4AF1"/>
    <w:rsid w:val="40A57752"/>
    <w:rsid w:val="40AB3DBD"/>
    <w:rsid w:val="40BB02E7"/>
    <w:rsid w:val="40CF4E36"/>
    <w:rsid w:val="40D02754"/>
    <w:rsid w:val="40DD5B87"/>
    <w:rsid w:val="410C54D9"/>
    <w:rsid w:val="41173547"/>
    <w:rsid w:val="414E77F4"/>
    <w:rsid w:val="41636824"/>
    <w:rsid w:val="41693476"/>
    <w:rsid w:val="41754D41"/>
    <w:rsid w:val="41811624"/>
    <w:rsid w:val="4198423B"/>
    <w:rsid w:val="419D7174"/>
    <w:rsid w:val="41A21455"/>
    <w:rsid w:val="41A77051"/>
    <w:rsid w:val="41B96BE3"/>
    <w:rsid w:val="41C27780"/>
    <w:rsid w:val="41CE2650"/>
    <w:rsid w:val="41E80D0F"/>
    <w:rsid w:val="41ED1466"/>
    <w:rsid w:val="41F32E35"/>
    <w:rsid w:val="41FC26D8"/>
    <w:rsid w:val="42014067"/>
    <w:rsid w:val="420D11AC"/>
    <w:rsid w:val="42257689"/>
    <w:rsid w:val="423E7F3E"/>
    <w:rsid w:val="42406199"/>
    <w:rsid w:val="424443C9"/>
    <w:rsid w:val="428216CB"/>
    <w:rsid w:val="42891AF3"/>
    <w:rsid w:val="42C11AE6"/>
    <w:rsid w:val="42C7679B"/>
    <w:rsid w:val="42D00AC2"/>
    <w:rsid w:val="42E00F90"/>
    <w:rsid w:val="42E46F22"/>
    <w:rsid w:val="42F979F6"/>
    <w:rsid w:val="42FB6149"/>
    <w:rsid w:val="43094E58"/>
    <w:rsid w:val="430B529D"/>
    <w:rsid w:val="431D23A7"/>
    <w:rsid w:val="433A730B"/>
    <w:rsid w:val="434A67A6"/>
    <w:rsid w:val="434F61BB"/>
    <w:rsid w:val="43824658"/>
    <w:rsid w:val="438837DF"/>
    <w:rsid w:val="439F39E9"/>
    <w:rsid w:val="43A0551A"/>
    <w:rsid w:val="43A975CD"/>
    <w:rsid w:val="43AD01AE"/>
    <w:rsid w:val="43DB3F23"/>
    <w:rsid w:val="440B1E39"/>
    <w:rsid w:val="44160914"/>
    <w:rsid w:val="444C63B2"/>
    <w:rsid w:val="44593733"/>
    <w:rsid w:val="445F2A31"/>
    <w:rsid w:val="44671DAC"/>
    <w:rsid w:val="44705E35"/>
    <w:rsid w:val="44797726"/>
    <w:rsid w:val="448E029D"/>
    <w:rsid w:val="44927BB2"/>
    <w:rsid w:val="449A71A0"/>
    <w:rsid w:val="44AE3D02"/>
    <w:rsid w:val="44B65390"/>
    <w:rsid w:val="44B84FEA"/>
    <w:rsid w:val="44BC2283"/>
    <w:rsid w:val="44D82741"/>
    <w:rsid w:val="44D96CE5"/>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C0656A"/>
    <w:rsid w:val="45C641DB"/>
    <w:rsid w:val="45D554C1"/>
    <w:rsid w:val="45DD2C6A"/>
    <w:rsid w:val="45F27E71"/>
    <w:rsid w:val="46065148"/>
    <w:rsid w:val="460E3E5D"/>
    <w:rsid w:val="463B5D1A"/>
    <w:rsid w:val="463D1824"/>
    <w:rsid w:val="46503583"/>
    <w:rsid w:val="465223F7"/>
    <w:rsid w:val="46550770"/>
    <w:rsid w:val="46633D18"/>
    <w:rsid w:val="466B3126"/>
    <w:rsid w:val="46707A4B"/>
    <w:rsid w:val="4690077B"/>
    <w:rsid w:val="469B050A"/>
    <w:rsid w:val="46B522AF"/>
    <w:rsid w:val="46EA58B1"/>
    <w:rsid w:val="46F73840"/>
    <w:rsid w:val="47412DD5"/>
    <w:rsid w:val="47675349"/>
    <w:rsid w:val="47872CDB"/>
    <w:rsid w:val="478A1FF7"/>
    <w:rsid w:val="479617D9"/>
    <w:rsid w:val="479D43B4"/>
    <w:rsid w:val="47A02CBA"/>
    <w:rsid w:val="47A95B9D"/>
    <w:rsid w:val="47BC567F"/>
    <w:rsid w:val="47CF57AA"/>
    <w:rsid w:val="47D80F2B"/>
    <w:rsid w:val="47E016ED"/>
    <w:rsid w:val="47F70090"/>
    <w:rsid w:val="48065BE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027C5"/>
    <w:rsid w:val="48D15857"/>
    <w:rsid w:val="48D662CD"/>
    <w:rsid w:val="48E531C2"/>
    <w:rsid w:val="48EA6EB5"/>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2A68D0"/>
    <w:rsid w:val="4A4D7B08"/>
    <w:rsid w:val="4A803EAC"/>
    <w:rsid w:val="4A874012"/>
    <w:rsid w:val="4A9401EE"/>
    <w:rsid w:val="4AA0783A"/>
    <w:rsid w:val="4AA46965"/>
    <w:rsid w:val="4AA71EC4"/>
    <w:rsid w:val="4AAE7950"/>
    <w:rsid w:val="4AB22A8F"/>
    <w:rsid w:val="4AC43159"/>
    <w:rsid w:val="4ADD4540"/>
    <w:rsid w:val="4AE44E4E"/>
    <w:rsid w:val="4AEE1091"/>
    <w:rsid w:val="4AEF6A17"/>
    <w:rsid w:val="4AFB281A"/>
    <w:rsid w:val="4B151BB4"/>
    <w:rsid w:val="4B4B0868"/>
    <w:rsid w:val="4B626E7F"/>
    <w:rsid w:val="4B7D6ED4"/>
    <w:rsid w:val="4B8951B5"/>
    <w:rsid w:val="4B8C0719"/>
    <w:rsid w:val="4B8F29F3"/>
    <w:rsid w:val="4BC52788"/>
    <w:rsid w:val="4BCF0C76"/>
    <w:rsid w:val="4BE24406"/>
    <w:rsid w:val="4C0364A2"/>
    <w:rsid w:val="4C18585B"/>
    <w:rsid w:val="4C1C049B"/>
    <w:rsid w:val="4C1C7E88"/>
    <w:rsid w:val="4C26046F"/>
    <w:rsid w:val="4C28053F"/>
    <w:rsid w:val="4C6C11E2"/>
    <w:rsid w:val="4C807166"/>
    <w:rsid w:val="4CA962A7"/>
    <w:rsid w:val="4CBF0B23"/>
    <w:rsid w:val="4CC91253"/>
    <w:rsid w:val="4CC95826"/>
    <w:rsid w:val="4CD72ECF"/>
    <w:rsid w:val="4CE80145"/>
    <w:rsid w:val="4CEB1D06"/>
    <w:rsid w:val="4CFD1026"/>
    <w:rsid w:val="4D20747A"/>
    <w:rsid w:val="4D3676B3"/>
    <w:rsid w:val="4D471547"/>
    <w:rsid w:val="4D5161C7"/>
    <w:rsid w:val="4D524AE1"/>
    <w:rsid w:val="4DBE1745"/>
    <w:rsid w:val="4DC94490"/>
    <w:rsid w:val="4DD17035"/>
    <w:rsid w:val="4DD94074"/>
    <w:rsid w:val="4DE51A95"/>
    <w:rsid w:val="4DFD3D12"/>
    <w:rsid w:val="4E1A3EB5"/>
    <w:rsid w:val="4E1A470D"/>
    <w:rsid w:val="4E294D5A"/>
    <w:rsid w:val="4E463B41"/>
    <w:rsid w:val="4E68562C"/>
    <w:rsid w:val="4E89337E"/>
    <w:rsid w:val="4E8B4500"/>
    <w:rsid w:val="4E8D7FB5"/>
    <w:rsid w:val="4EAA5F5B"/>
    <w:rsid w:val="4EAC4F2B"/>
    <w:rsid w:val="4EC27EAA"/>
    <w:rsid w:val="4EDA3A9C"/>
    <w:rsid w:val="4EEE4DAD"/>
    <w:rsid w:val="4F056692"/>
    <w:rsid w:val="4F2754BC"/>
    <w:rsid w:val="4F2834D1"/>
    <w:rsid w:val="4F2B3870"/>
    <w:rsid w:val="4F341EEA"/>
    <w:rsid w:val="4F61467C"/>
    <w:rsid w:val="4F7E7804"/>
    <w:rsid w:val="4F8D7062"/>
    <w:rsid w:val="4FB65CCD"/>
    <w:rsid w:val="4FB972A9"/>
    <w:rsid w:val="4FBD4E00"/>
    <w:rsid w:val="4FBF73EF"/>
    <w:rsid w:val="4FC765AD"/>
    <w:rsid w:val="4FE87180"/>
    <w:rsid w:val="4FEE4C58"/>
    <w:rsid w:val="4FF43C08"/>
    <w:rsid w:val="4FF7503E"/>
    <w:rsid w:val="50066E24"/>
    <w:rsid w:val="500C2B1D"/>
    <w:rsid w:val="500E6291"/>
    <w:rsid w:val="501D1B02"/>
    <w:rsid w:val="501E0C85"/>
    <w:rsid w:val="50426F73"/>
    <w:rsid w:val="504C6E7E"/>
    <w:rsid w:val="505963C8"/>
    <w:rsid w:val="506444BC"/>
    <w:rsid w:val="506F336C"/>
    <w:rsid w:val="50731A29"/>
    <w:rsid w:val="507D45CC"/>
    <w:rsid w:val="50852AB2"/>
    <w:rsid w:val="50AA556A"/>
    <w:rsid w:val="50AE16DE"/>
    <w:rsid w:val="50AE34A0"/>
    <w:rsid w:val="50B045AB"/>
    <w:rsid w:val="50EE17C7"/>
    <w:rsid w:val="512E3212"/>
    <w:rsid w:val="513A3F91"/>
    <w:rsid w:val="513B7615"/>
    <w:rsid w:val="516516EA"/>
    <w:rsid w:val="516D78D9"/>
    <w:rsid w:val="51712F79"/>
    <w:rsid w:val="518439F6"/>
    <w:rsid w:val="518A1123"/>
    <w:rsid w:val="518D6E5A"/>
    <w:rsid w:val="51AE4F6C"/>
    <w:rsid w:val="51DD2D75"/>
    <w:rsid w:val="51E73F79"/>
    <w:rsid w:val="51F07536"/>
    <w:rsid w:val="52391092"/>
    <w:rsid w:val="524C467F"/>
    <w:rsid w:val="524D493D"/>
    <w:rsid w:val="526A4BA2"/>
    <w:rsid w:val="52804F75"/>
    <w:rsid w:val="528B71DF"/>
    <w:rsid w:val="5297553C"/>
    <w:rsid w:val="52A631B4"/>
    <w:rsid w:val="52B8695C"/>
    <w:rsid w:val="52DE00A3"/>
    <w:rsid w:val="52E11458"/>
    <w:rsid w:val="52E465D9"/>
    <w:rsid w:val="52E71655"/>
    <w:rsid w:val="52E7511B"/>
    <w:rsid w:val="53122C69"/>
    <w:rsid w:val="53131A85"/>
    <w:rsid w:val="53182862"/>
    <w:rsid w:val="53221C47"/>
    <w:rsid w:val="532E10FB"/>
    <w:rsid w:val="534E343B"/>
    <w:rsid w:val="53AB108E"/>
    <w:rsid w:val="53BF2F7A"/>
    <w:rsid w:val="53E05450"/>
    <w:rsid w:val="53F8030D"/>
    <w:rsid w:val="53FD6839"/>
    <w:rsid w:val="5407216E"/>
    <w:rsid w:val="54131AEA"/>
    <w:rsid w:val="544122C6"/>
    <w:rsid w:val="54414D20"/>
    <w:rsid w:val="5449280C"/>
    <w:rsid w:val="54591907"/>
    <w:rsid w:val="546C5A12"/>
    <w:rsid w:val="548913CC"/>
    <w:rsid w:val="548E2C25"/>
    <w:rsid w:val="5492474A"/>
    <w:rsid w:val="54B06087"/>
    <w:rsid w:val="54C660D7"/>
    <w:rsid w:val="54F20E3F"/>
    <w:rsid w:val="55002C08"/>
    <w:rsid w:val="551D2E67"/>
    <w:rsid w:val="5520724E"/>
    <w:rsid w:val="55454D55"/>
    <w:rsid w:val="55626EC9"/>
    <w:rsid w:val="556D77A6"/>
    <w:rsid w:val="557A014E"/>
    <w:rsid w:val="55A30DB3"/>
    <w:rsid w:val="55AC0995"/>
    <w:rsid w:val="55B013CE"/>
    <w:rsid w:val="55C638F9"/>
    <w:rsid w:val="55D35E71"/>
    <w:rsid w:val="560209A1"/>
    <w:rsid w:val="560C5155"/>
    <w:rsid w:val="562C51F5"/>
    <w:rsid w:val="56314C40"/>
    <w:rsid w:val="56330AF6"/>
    <w:rsid w:val="5637484F"/>
    <w:rsid w:val="563F2BD8"/>
    <w:rsid w:val="564207ED"/>
    <w:rsid w:val="566409F3"/>
    <w:rsid w:val="56720525"/>
    <w:rsid w:val="56742BF9"/>
    <w:rsid w:val="5679539B"/>
    <w:rsid w:val="568E6F8D"/>
    <w:rsid w:val="56CB1014"/>
    <w:rsid w:val="56EC5CB9"/>
    <w:rsid w:val="56F1515A"/>
    <w:rsid w:val="56F651E7"/>
    <w:rsid w:val="57430DA8"/>
    <w:rsid w:val="574761CB"/>
    <w:rsid w:val="57477DA6"/>
    <w:rsid w:val="57570875"/>
    <w:rsid w:val="57815C18"/>
    <w:rsid w:val="578F3442"/>
    <w:rsid w:val="57911D3D"/>
    <w:rsid w:val="57952B3A"/>
    <w:rsid w:val="57A3286D"/>
    <w:rsid w:val="57AD2F20"/>
    <w:rsid w:val="57C76498"/>
    <w:rsid w:val="57CE79F7"/>
    <w:rsid w:val="57DF7856"/>
    <w:rsid w:val="57E14725"/>
    <w:rsid w:val="57E70D1E"/>
    <w:rsid w:val="57FB24E4"/>
    <w:rsid w:val="581C7EAE"/>
    <w:rsid w:val="584E295E"/>
    <w:rsid w:val="585A70CB"/>
    <w:rsid w:val="585C401C"/>
    <w:rsid w:val="58633250"/>
    <w:rsid w:val="5865477E"/>
    <w:rsid w:val="587D7954"/>
    <w:rsid w:val="58A33730"/>
    <w:rsid w:val="58A673CC"/>
    <w:rsid w:val="58BC2BFA"/>
    <w:rsid w:val="58BF7267"/>
    <w:rsid w:val="58C3414D"/>
    <w:rsid w:val="58CE0D6F"/>
    <w:rsid w:val="58E25E75"/>
    <w:rsid w:val="58E379E1"/>
    <w:rsid w:val="58F05189"/>
    <w:rsid w:val="58F93D12"/>
    <w:rsid w:val="590846E9"/>
    <w:rsid w:val="59131427"/>
    <w:rsid w:val="59377A33"/>
    <w:rsid w:val="593D3036"/>
    <w:rsid w:val="594576F1"/>
    <w:rsid w:val="59472AA2"/>
    <w:rsid w:val="59486DB1"/>
    <w:rsid w:val="595A3E8D"/>
    <w:rsid w:val="597E0EEE"/>
    <w:rsid w:val="5999290C"/>
    <w:rsid w:val="599A45D3"/>
    <w:rsid w:val="599C38A9"/>
    <w:rsid w:val="59AD11E3"/>
    <w:rsid w:val="5A0A334B"/>
    <w:rsid w:val="5A257CEA"/>
    <w:rsid w:val="5A4B6B1B"/>
    <w:rsid w:val="5A5578EB"/>
    <w:rsid w:val="5A7616BE"/>
    <w:rsid w:val="5A954F7C"/>
    <w:rsid w:val="5ABB5323"/>
    <w:rsid w:val="5ABF2AEC"/>
    <w:rsid w:val="5ACA28A7"/>
    <w:rsid w:val="5ADC6441"/>
    <w:rsid w:val="5AEF4B29"/>
    <w:rsid w:val="5AF0321E"/>
    <w:rsid w:val="5AF81998"/>
    <w:rsid w:val="5AFD593B"/>
    <w:rsid w:val="5B115AF1"/>
    <w:rsid w:val="5B2A3601"/>
    <w:rsid w:val="5B300758"/>
    <w:rsid w:val="5B3244A2"/>
    <w:rsid w:val="5B411DB7"/>
    <w:rsid w:val="5B45039B"/>
    <w:rsid w:val="5B735C64"/>
    <w:rsid w:val="5B7841B7"/>
    <w:rsid w:val="5B8A7735"/>
    <w:rsid w:val="5B9D2507"/>
    <w:rsid w:val="5BB54D8E"/>
    <w:rsid w:val="5BB81272"/>
    <w:rsid w:val="5BD41D4F"/>
    <w:rsid w:val="5BF572D1"/>
    <w:rsid w:val="5BFE5BD6"/>
    <w:rsid w:val="5C1A183E"/>
    <w:rsid w:val="5C273FF1"/>
    <w:rsid w:val="5C280962"/>
    <w:rsid w:val="5C3013D7"/>
    <w:rsid w:val="5C4D2A65"/>
    <w:rsid w:val="5C73537A"/>
    <w:rsid w:val="5C747FCB"/>
    <w:rsid w:val="5C754B8D"/>
    <w:rsid w:val="5C756E89"/>
    <w:rsid w:val="5C8B0840"/>
    <w:rsid w:val="5C964AD9"/>
    <w:rsid w:val="5C9E3C58"/>
    <w:rsid w:val="5CAF1B02"/>
    <w:rsid w:val="5CB63792"/>
    <w:rsid w:val="5CBD6CED"/>
    <w:rsid w:val="5CD43B14"/>
    <w:rsid w:val="5CD517A8"/>
    <w:rsid w:val="5CEB3BD7"/>
    <w:rsid w:val="5D145698"/>
    <w:rsid w:val="5D1523DC"/>
    <w:rsid w:val="5D276B29"/>
    <w:rsid w:val="5D326441"/>
    <w:rsid w:val="5D4F4E2F"/>
    <w:rsid w:val="5D4F4F9F"/>
    <w:rsid w:val="5D4F601E"/>
    <w:rsid w:val="5D641565"/>
    <w:rsid w:val="5D7243BE"/>
    <w:rsid w:val="5D785016"/>
    <w:rsid w:val="5D8004E5"/>
    <w:rsid w:val="5D841CBA"/>
    <w:rsid w:val="5D8A3A29"/>
    <w:rsid w:val="5D8C00F8"/>
    <w:rsid w:val="5D905553"/>
    <w:rsid w:val="5D920A56"/>
    <w:rsid w:val="5D99194B"/>
    <w:rsid w:val="5DB65E37"/>
    <w:rsid w:val="5DBA1B10"/>
    <w:rsid w:val="5DBB200B"/>
    <w:rsid w:val="5DBF08E2"/>
    <w:rsid w:val="5DC50E6F"/>
    <w:rsid w:val="5DC76DA7"/>
    <w:rsid w:val="5DD4658C"/>
    <w:rsid w:val="5E017EE7"/>
    <w:rsid w:val="5E0A61E9"/>
    <w:rsid w:val="5E0C06DC"/>
    <w:rsid w:val="5E137399"/>
    <w:rsid w:val="5E181564"/>
    <w:rsid w:val="5E313656"/>
    <w:rsid w:val="5E35686D"/>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501329"/>
    <w:rsid w:val="6052350C"/>
    <w:rsid w:val="6057564A"/>
    <w:rsid w:val="605D2A22"/>
    <w:rsid w:val="606010BB"/>
    <w:rsid w:val="606F55BD"/>
    <w:rsid w:val="60841B82"/>
    <w:rsid w:val="60C07B37"/>
    <w:rsid w:val="60C92770"/>
    <w:rsid w:val="60DE6B61"/>
    <w:rsid w:val="60DF59BB"/>
    <w:rsid w:val="60ED1D05"/>
    <w:rsid w:val="60FB6C1E"/>
    <w:rsid w:val="61014D96"/>
    <w:rsid w:val="61061BA6"/>
    <w:rsid w:val="61176EE7"/>
    <w:rsid w:val="6130324B"/>
    <w:rsid w:val="614457D6"/>
    <w:rsid w:val="61471E39"/>
    <w:rsid w:val="61527B62"/>
    <w:rsid w:val="61706C21"/>
    <w:rsid w:val="61736CA9"/>
    <w:rsid w:val="61813521"/>
    <w:rsid w:val="618970E5"/>
    <w:rsid w:val="618E7131"/>
    <w:rsid w:val="61A8364C"/>
    <w:rsid w:val="61B3034C"/>
    <w:rsid w:val="61B32230"/>
    <w:rsid w:val="61DC0282"/>
    <w:rsid w:val="62031E6E"/>
    <w:rsid w:val="62356047"/>
    <w:rsid w:val="6260107E"/>
    <w:rsid w:val="626B0230"/>
    <w:rsid w:val="62726C0F"/>
    <w:rsid w:val="627F48EE"/>
    <w:rsid w:val="629152E7"/>
    <w:rsid w:val="62AD2160"/>
    <w:rsid w:val="62BD502E"/>
    <w:rsid w:val="62D056AB"/>
    <w:rsid w:val="62DF6F58"/>
    <w:rsid w:val="62DF7F84"/>
    <w:rsid w:val="62E17841"/>
    <w:rsid w:val="62E42B32"/>
    <w:rsid w:val="62F66C5A"/>
    <w:rsid w:val="62F93E29"/>
    <w:rsid w:val="63022E47"/>
    <w:rsid w:val="6331655A"/>
    <w:rsid w:val="633345F0"/>
    <w:rsid w:val="634405AB"/>
    <w:rsid w:val="63516234"/>
    <w:rsid w:val="635A0F78"/>
    <w:rsid w:val="63632BC4"/>
    <w:rsid w:val="63660AF8"/>
    <w:rsid w:val="63764F64"/>
    <w:rsid w:val="637E49AD"/>
    <w:rsid w:val="638569F4"/>
    <w:rsid w:val="63C0148B"/>
    <w:rsid w:val="63C93FBE"/>
    <w:rsid w:val="63CF5E53"/>
    <w:rsid w:val="63D72CBA"/>
    <w:rsid w:val="63DE69AC"/>
    <w:rsid w:val="63E02383"/>
    <w:rsid w:val="642148BB"/>
    <w:rsid w:val="642F6E5E"/>
    <w:rsid w:val="6448283B"/>
    <w:rsid w:val="64562104"/>
    <w:rsid w:val="64653759"/>
    <w:rsid w:val="64660C1B"/>
    <w:rsid w:val="646F05FD"/>
    <w:rsid w:val="64746749"/>
    <w:rsid w:val="647E0B22"/>
    <w:rsid w:val="64853361"/>
    <w:rsid w:val="64A07AA2"/>
    <w:rsid w:val="64A13643"/>
    <w:rsid w:val="64A50307"/>
    <w:rsid w:val="64A55D36"/>
    <w:rsid w:val="64A66F47"/>
    <w:rsid w:val="64BB6909"/>
    <w:rsid w:val="64CA49F3"/>
    <w:rsid w:val="64CB035E"/>
    <w:rsid w:val="64E22C89"/>
    <w:rsid w:val="64E70A19"/>
    <w:rsid w:val="64F30349"/>
    <w:rsid w:val="64FE3ED8"/>
    <w:rsid w:val="65223305"/>
    <w:rsid w:val="65254B7D"/>
    <w:rsid w:val="65270A2D"/>
    <w:rsid w:val="653126DD"/>
    <w:rsid w:val="65500021"/>
    <w:rsid w:val="655B39D3"/>
    <w:rsid w:val="657751B4"/>
    <w:rsid w:val="65954C67"/>
    <w:rsid w:val="65A84314"/>
    <w:rsid w:val="65AB24D7"/>
    <w:rsid w:val="65B20028"/>
    <w:rsid w:val="65C12BDE"/>
    <w:rsid w:val="65D324D6"/>
    <w:rsid w:val="65E40CA8"/>
    <w:rsid w:val="65E45739"/>
    <w:rsid w:val="66192421"/>
    <w:rsid w:val="66310A20"/>
    <w:rsid w:val="66520752"/>
    <w:rsid w:val="6659462E"/>
    <w:rsid w:val="666D1E03"/>
    <w:rsid w:val="66856BF5"/>
    <w:rsid w:val="66DE03E4"/>
    <w:rsid w:val="66E67791"/>
    <w:rsid w:val="66FA2AD8"/>
    <w:rsid w:val="66FE6CC3"/>
    <w:rsid w:val="6729763B"/>
    <w:rsid w:val="672C1A82"/>
    <w:rsid w:val="674A0FC0"/>
    <w:rsid w:val="6755677A"/>
    <w:rsid w:val="675D568B"/>
    <w:rsid w:val="6777502A"/>
    <w:rsid w:val="678131BA"/>
    <w:rsid w:val="67894558"/>
    <w:rsid w:val="67A64922"/>
    <w:rsid w:val="67A94F4C"/>
    <w:rsid w:val="67BD3370"/>
    <w:rsid w:val="67D11217"/>
    <w:rsid w:val="67D751E9"/>
    <w:rsid w:val="67D77AB0"/>
    <w:rsid w:val="67DF4182"/>
    <w:rsid w:val="67E0356A"/>
    <w:rsid w:val="67ED42E1"/>
    <w:rsid w:val="67EE032A"/>
    <w:rsid w:val="67F32432"/>
    <w:rsid w:val="68110987"/>
    <w:rsid w:val="682C60B1"/>
    <w:rsid w:val="684F48FD"/>
    <w:rsid w:val="687875DB"/>
    <w:rsid w:val="687B2025"/>
    <w:rsid w:val="68AE6D93"/>
    <w:rsid w:val="68B7230A"/>
    <w:rsid w:val="68B910F3"/>
    <w:rsid w:val="68BE498A"/>
    <w:rsid w:val="68D56032"/>
    <w:rsid w:val="68E80D06"/>
    <w:rsid w:val="68FA126D"/>
    <w:rsid w:val="68FE0797"/>
    <w:rsid w:val="6908237C"/>
    <w:rsid w:val="69156B2E"/>
    <w:rsid w:val="691B39EB"/>
    <w:rsid w:val="69282F1F"/>
    <w:rsid w:val="694E3952"/>
    <w:rsid w:val="69562BE0"/>
    <w:rsid w:val="695A6EA6"/>
    <w:rsid w:val="698A0D67"/>
    <w:rsid w:val="69991952"/>
    <w:rsid w:val="69B32893"/>
    <w:rsid w:val="69C6464B"/>
    <w:rsid w:val="69CE1B88"/>
    <w:rsid w:val="69E14647"/>
    <w:rsid w:val="69EC0E58"/>
    <w:rsid w:val="69F308DD"/>
    <w:rsid w:val="69F45014"/>
    <w:rsid w:val="6A1341FD"/>
    <w:rsid w:val="6A2D67DA"/>
    <w:rsid w:val="6A704F19"/>
    <w:rsid w:val="6A750417"/>
    <w:rsid w:val="6AB826E5"/>
    <w:rsid w:val="6ABC1B90"/>
    <w:rsid w:val="6AC66A6D"/>
    <w:rsid w:val="6AD57BEE"/>
    <w:rsid w:val="6AF96666"/>
    <w:rsid w:val="6AFB638B"/>
    <w:rsid w:val="6B005B4C"/>
    <w:rsid w:val="6B036F9E"/>
    <w:rsid w:val="6B0F6697"/>
    <w:rsid w:val="6B195F5E"/>
    <w:rsid w:val="6B1A1AC1"/>
    <w:rsid w:val="6B286E99"/>
    <w:rsid w:val="6B323514"/>
    <w:rsid w:val="6B4A5CE7"/>
    <w:rsid w:val="6B4D2289"/>
    <w:rsid w:val="6B510BFA"/>
    <w:rsid w:val="6B5878BC"/>
    <w:rsid w:val="6B672E75"/>
    <w:rsid w:val="6B6C1C06"/>
    <w:rsid w:val="6B7063BA"/>
    <w:rsid w:val="6B780E84"/>
    <w:rsid w:val="6B822625"/>
    <w:rsid w:val="6B8579B3"/>
    <w:rsid w:val="6B8A2D5E"/>
    <w:rsid w:val="6BB169FA"/>
    <w:rsid w:val="6C035EE4"/>
    <w:rsid w:val="6C0726FA"/>
    <w:rsid w:val="6C2017B1"/>
    <w:rsid w:val="6C216AE5"/>
    <w:rsid w:val="6C473C3C"/>
    <w:rsid w:val="6C474A32"/>
    <w:rsid w:val="6C4F762E"/>
    <w:rsid w:val="6C561048"/>
    <w:rsid w:val="6C6813DD"/>
    <w:rsid w:val="6C8C190A"/>
    <w:rsid w:val="6C9872EB"/>
    <w:rsid w:val="6CA57F05"/>
    <w:rsid w:val="6CAD2335"/>
    <w:rsid w:val="6CAF06EF"/>
    <w:rsid w:val="6CBB4393"/>
    <w:rsid w:val="6CBC5F45"/>
    <w:rsid w:val="6CDB48EF"/>
    <w:rsid w:val="6D02572A"/>
    <w:rsid w:val="6D135F70"/>
    <w:rsid w:val="6D1E4EB1"/>
    <w:rsid w:val="6D2D0346"/>
    <w:rsid w:val="6D443E48"/>
    <w:rsid w:val="6D453755"/>
    <w:rsid w:val="6D4B5932"/>
    <w:rsid w:val="6D80377B"/>
    <w:rsid w:val="6D82512E"/>
    <w:rsid w:val="6D8F1E73"/>
    <w:rsid w:val="6D906CE1"/>
    <w:rsid w:val="6DA92893"/>
    <w:rsid w:val="6DAB4392"/>
    <w:rsid w:val="6DAB75E8"/>
    <w:rsid w:val="6DB21CB6"/>
    <w:rsid w:val="6DC33DE6"/>
    <w:rsid w:val="6DC74F9B"/>
    <w:rsid w:val="6DD421AE"/>
    <w:rsid w:val="6DD62748"/>
    <w:rsid w:val="6DDD4E41"/>
    <w:rsid w:val="6DE44A7F"/>
    <w:rsid w:val="6E054DDB"/>
    <w:rsid w:val="6E133DC7"/>
    <w:rsid w:val="6E360575"/>
    <w:rsid w:val="6E3E39E4"/>
    <w:rsid w:val="6E6164B5"/>
    <w:rsid w:val="6E7656F6"/>
    <w:rsid w:val="6E7C2320"/>
    <w:rsid w:val="6E865F1C"/>
    <w:rsid w:val="6E892CE9"/>
    <w:rsid w:val="6E9F4019"/>
    <w:rsid w:val="6EA760B2"/>
    <w:rsid w:val="6EB84D1B"/>
    <w:rsid w:val="6EC06D60"/>
    <w:rsid w:val="6ED00F12"/>
    <w:rsid w:val="6EF07839"/>
    <w:rsid w:val="6EFB226A"/>
    <w:rsid w:val="6F203155"/>
    <w:rsid w:val="6F4D24E7"/>
    <w:rsid w:val="6F56531B"/>
    <w:rsid w:val="6FAC6952"/>
    <w:rsid w:val="6FAE5A25"/>
    <w:rsid w:val="6FB00B3E"/>
    <w:rsid w:val="6FB822FE"/>
    <w:rsid w:val="6FB96EE5"/>
    <w:rsid w:val="6FEE6B24"/>
    <w:rsid w:val="6FF06302"/>
    <w:rsid w:val="6FF84BF7"/>
    <w:rsid w:val="6FFC1E95"/>
    <w:rsid w:val="70004A37"/>
    <w:rsid w:val="70145815"/>
    <w:rsid w:val="70193687"/>
    <w:rsid w:val="702C664F"/>
    <w:rsid w:val="70416E80"/>
    <w:rsid w:val="70451769"/>
    <w:rsid w:val="70626515"/>
    <w:rsid w:val="706B600D"/>
    <w:rsid w:val="706F4FF5"/>
    <w:rsid w:val="707F6C32"/>
    <w:rsid w:val="70A45573"/>
    <w:rsid w:val="70BF1AFC"/>
    <w:rsid w:val="70DA523A"/>
    <w:rsid w:val="70F824DD"/>
    <w:rsid w:val="71000C7D"/>
    <w:rsid w:val="711204C3"/>
    <w:rsid w:val="71163705"/>
    <w:rsid w:val="71285DE2"/>
    <w:rsid w:val="712F63E6"/>
    <w:rsid w:val="71455D64"/>
    <w:rsid w:val="71595041"/>
    <w:rsid w:val="716464AF"/>
    <w:rsid w:val="716B13F9"/>
    <w:rsid w:val="717604C9"/>
    <w:rsid w:val="71763D26"/>
    <w:rsid w:val="71AA7A2E"/>
    <w:rsid w:val="71DB20DB"/>
    <w:rsid w:val="720F175F"/>
    <w:rsid w:val="722303A6"/>
    <w:rsid w:val="72644A41"/>
    <w:rsid w:val="726D024C"/>
    <w:rsid w:val="728C0282"/>
    <w:rsid w:val="728F7B9B"/>
    <w:rsid w:val="729B3D29"/>
    <w:rsid w:val="72AE13F3"/>
    <w:rsid w:val="72B721FA"/>
    <w:rsid w:val="72C9287B"/>
    <w:rsid w:val="72C94DF5"/>
    <w:rsid w:val="72CC6D61"/>
    <w:rsid w:val="72D412E5"/>
    <w:rsid w:val="72DF2BDC"/>
    <w:rsid w:val="72E54C89"/>
    <w:rsid w:val="73094A86"/>
    <w:rsid w:val="730A4ECD"/>
    <w:rsid w:val="73137F9A"/>
    <w:rsid w:val="73190E04"/>
    <w:rsid w:val="734931B7"/>
    <w:rsid w:val="735633C3"/>
    <w:rsid w:val="735C21F1"/>
    <w:rsid w:val="735D6F11"/>
    <w:rsid w:val="737B7E1C"/>
    <w:rsid w:val="737E6143"/>
    <w:rsid w:val="738E1CBC"/>
    <w:rsid w:val="739F08C2"/>
    <w:rsid w:val="73BE7F06"/>
    <w:rsid w:val="73C80378"/>
    <w:rsid w:val="73DB09F5"/>
    <w:rsid w:val="73DD3416"/>
    <w:rsid w:val="74033B6B"/>
    <w:rsid w:val="74320F36"/>
    <w:rsid w:val="7433327B"/>
    <w:rsid w:val="74374FD2"/>
    <w:rsid w:val="745C74DD"/>
    <w:rsid w:val="74653C7B"/>
    <w:rsid w:val="746E6A74"/>
    <w:rsid w:val="748539B5"/>
    <w:rsid w:val="74872C81"/>
    <w:rsid w:val="7488077B"/>
    <w:rsid w:val="74946551"/>
    <w:rsid w:val="74A120DE"/>
    <w:rsid w:val="74AB4D71"/>
    <w:rsid w:val="74EF0C65"/>
    <w:rsid w:val="74F9415D"/>
    <w:rsid w:val="75157FF9"/>
    <w:rsid w:val="753F3906"/>
    <w:rsid w:val="755C374C"/>
    <w:rsid w:val="758B15F3"/>
    <w:rsid w:val="759A6122"/>
    <w:rsid w:val="75B855F0"/>
    <w:rsid w:val="75C15A8B"/>
    <w:rsid w:val="75C82341"/>
    <w:rsid w:val="75DD2979"/>
    <w:rsid w:val="75DF329A"/>
    <w:rsid w:val="75E4177A"/>
    <w:rsid w:val="75E65C18"/>
    <w:rsid w:val="75E94149"/>
    <w:rsid w:val="75EA4FE2"/>
    <w:rsid w:val="75F4329D"/>
    <w:rsid w:val="762C2C4A"/>
    <w:rsid w:val="765B0BE1"/>
    <w:rsid w:val="766E7396"/>
    <w:rsid w:val="768D4E38"/>
    <w:rsid w:val="769F683B"/>
    <w:rsid w:val="76B17FF0"/>
    <w:rsid w:val="76C47EB6"/>
    <w:rsid w:val="76D47A4A"/>
    <w:rsid w:val="76E934EC"/>
    <w:rsid w:val="76ED76A8"/>
    <w:rsid w:val="77022CE3"/>
    <w:rsid w:val="77024A53"/>
    <w:rsid w:val="77075425"/>
    <w:rsid w:val="77185B7F"/>
    <w:rsid w:val="77242EBC"/>
    <w:rsid w:val="7730259A"/>
    <w:rsid w:val="773109EF"/>
    <w:rsid w:val="776A7D31"/>
    <w:rsid w:val="776E579F"/>
    <w:rsid w:val="7774123D"/>
    <w:rsid w:val="77A13816"/>
    <w:rsid w:val="77A1509D"/>
    <w:rsid w:val="77AB455C"/>
    <w:rsid w:val="77C23303"/>
    <w:rsid w:val="784C35B2"/>
    <w:rsid w:val="78517688"/>
    <w:rsid w:val="78774540"/>
    <w:rsid w:val="78961451"/>
    <w:rsid w:val="78A22A5F"/>
    <w:rsid w:val="78C74A2E"/>
    <w:rsid w:val="78D50A4B"/>
    <w:rsid w:val="78EB2F2B"/>
    <w:rsid w:val="78ED7923"/>
    <w:rsid w:val="78EF2314"/>
    <w:rsid w:val="791D5C40"/>
    <w:rsid w:val="79303A24"/>
    <w:rsid w:val="79367CDE"/>
    <w:rsid w:val="79394779"/>
    <w:rsid w:val="793F6537"/>
    <w:rsid w:val="794709FB"/>
    <w:rsid w:val="795065E7"/>
    <w:rsid w:val="795C3B14"/>
    <w:rsid w:val="795D7F6C"/>
    <w:rsid w:val="796324AB"/>
    <w:rsid w:val="797F465B"/>
    <w:rsid w:val="79B6434A"/>
    <w:rsid w:val="79BF6679"/>
    <w:rsid w:val="79C0491A"/>
    <w:rsid w:val="79D8186D"/>
    <w:rsid w:val="79D85D05"/>
    <w:rsid w:val="7A130D12"/>
    <w:rsid w:val="7A296460"/>
    <w:rsid w:val="7A3E1684"/>
    <w:rsid w:val="7A4153ED"/>
    <w:rsid w:val="7A5E7D4D"/>
    <w:rsid w:val="7A891F2C"/>
    <w:rsid w:val="7A8F1CF2"/>
    <w:rsid w:val="7AAB456B"/>
    <w:rsid w:val="7ABB2C6E"/>
    <w:rsid w:val="7ABB42D0"/>
    <w:rsid w:val="7ABB61CC"/>
    <w:rsid w:val="7ACB3368"/>
    <w:rsid w:val="7AE678F9"/>
    <w:rsid w:val="7AEC2086"/>
    <w:rsid w:val="7B0C1557"/>
    <w:rsid w:val="7B15666E"/>
    <w:rsid w:val="7B1F6A9C"/>
    <w:rsid w:val="7B2B51A4"/>
    <w:rsid w:val="7B301819"/>
    <w:rsid w:val="7B541D66"/>
    <w:rsid w:val="7B5B3330"/>
    <w:rsid w:val="7B605044"/>
    <w:rsid w:val="7B68051B"/>
    <w:rsid w:val="7B6D1DBE"/>
    <w:rsid w:val="7B950D1B"/>
    <w:rsid w:val="7B9A0C8D"/>
    <w:rsid w:val="7BB82541"/>
    <w:rsid w:val="7BC9163E"/>
    <w:rsid w:val="7BCA3CA3"/>
    <w:rsid w:val="7BCF0CCF"/>
    <w:rsid w:val="7BDE0FB9"/>
    <w:rsid w:val="7BE13F9D"/>
    <w:rsid w:val="7BE219A5"/>
    <w:rsid w:val="7BF66D82"/>
    <w:rsid w:val="7C0A46A1"/>
    <w:rsid w:val="7C1F352E"/>
    <w:rsid w:val="7C220001"/>
    <w:rsid w:val="7C2A5990"/>
    <w:rsid w:val="7C645794"/>
    <w:rsid w:val="7C85644F"/>
    <w:rsid w:val="7C9D5474"/>
    <w:rsid w:val="7C9E71B5"/>
    <w:rsid w:val="7CCB20BA"/>
    <w:rsid w:val="7CEC167B"/>
    <w:rsid w:val="7CF27A3E"/>
    <w:rsid w:val="7D090B29"/>
    <w:rsid w:val="7D0A0B7B"/>
    <w:rsid w:val="7D48334D"/>
    <w:rsid w:val="7D583FF4"/>
    <w:rsid w:val="7D6671F5"/>
    <w:rsid w:val="7D7C53CD"/>
    <w:rsid w:val="7D826FFC"/>
    <w:rsid w:val="7D831032"/>
    <w:rsid w:val="7D8D44D5"/>
    <w:rsid w:val="7DB712AF"/>
    <w:rsid w:val="7DC0777E"/>
    <w:rsid w:val="7DDF4B26"/>
    <w:rsid w:val="7E192777"/>
    <w:rsid w:val="7E195701"/>
    <w:rsid w:val="7E2331BA"/>
    <w:rsid w:val="7E37676D"/>
    <w:rsid w:val="7E4A75BA"/>
    <w:rsid w:val="7E5E42E0"/>
    <w:rsid w:val="7E5F0EBC"/>
    <w:rsid w:val="7E637C3B"/>
    <w:rsid w:val="7E81304E"/>
    <w:rsid w:val="7E843AFA"/>
    <w:rsid w:val="7E8915D1"/>
    <w:rsid w:val="7EA41C6D"/>
    <w:rsid w:val="7ECE6E95"/>
    <w:rsid w:val="7EFA2227"/>
    <w:rsid w:val="7F05783B"/>
    <w:rsid w:val="7F09178D"/>
    <w:rsid w:val="7F5449A6"/>
    <w:rsid w:val="7F5E5408"/>
    <w:rsid w:val="7F7E54A5"/>
    <w:rsid w:val="7F84355C"/>
    <w:rsid w:val="7F91198B"/>
    <w:rsid w:val="7F9C16E1"/>
    <w:rsid w:val="7FA0614C"/>
    <w:rsid w:val="7FB404FE"/>
    <w:rsid w:val="7FB90B63"/>
    <w:rsid w:val="7FBD3613"/>
    <w:rsid w:val="7FD5023C"/>
    <w:rsid w:val="7FEA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7">
    <w:name w:val="heading 1"/>
    <w:basedOn w:val="1"/>
    <w:next w:val="1"/>
    <w:qFormat/>
    <w:uiPriority w:val="99"/>
    <w:pPr>
      <w:keepNext/>
      <w:pageBreakBefore/>
      <w:widowControl/>
      <w:numPr>
        <w:ilvl w:val="0"/>
        <w:numId w:val="1"/>
      </w:numPr>
      <w:spacing w:before="240" w:after="120"/>
      <w:jc w:val="left"/>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link w:val="60"/>
    <w:unhideWhenUsed/>
    <w:qFormat/>
    <w:uiPriority w:val="0"/>
    <w:pPr>
      <w:keepNext/>
      <w:keepLines/>
      <w:numPr>
        <w:ilvl w:val="2"/>
        <w:numId w:val="2"/>
      </w:numPr>
      <w:spacing w:line="416" w:lineRule="auto"/>
      <w:outlineLvl w:val="2"/>
    </w:pPr>
    <w:rPr>
      <w:b/>
      <w:bCs/>
      <w:sz w:val="32"/>
      <w:szCs w:val="32"/>
    </w:rPr>
  </w:style>
  <w:style w:type="paragraph" w:styleId="10">
    <w:name w:val="heading 4"/>
    <w:basedOn w:val="1"/>
    <w:next w:val="1"/>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11">
    <w:name w:val="heading 5"/>
    <w:basedOn w:val="1"/>
    <w:next w:val="1"/>
    <w:unhideWhenUsed/>
    <w:qFormat/>
    <w:uiPriority w:val="9"/>
    <w:pPr>
      <w:keepNext/>
      <w:keepLines/>
      <w:spacing w:before="120" w:after="120" w:line="360" w:lineRule="auto"/>
      <w:outlineLvl w:val="4"/>
    </w:pPr>
    <w:rPr>
      <w:rFonts w:eastAsia="宋体" w:asciiTheme="minorHAnsi" w:hAnsiTheme="minorHAnsi"/>
      <w:sz w:val="28"/>
    </w:rPr>
  </w:style>
  <w:style w:type="paragraph" w:styleId="12">
    <w:name w:val="heading 6"/>
    <w:basedOn w:val="1"/>
    <w:next w:val="1"/>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ind w:left="420" w:leftChars="200"/>
    </w:pPr>
    <w:rPr>
      <w:kern w:val="0"/>
      <w:sz w:val="20"/>
      <w:szCs w:val="20"/>
    </w:rPr>
  </w:style>
  <w:style w:type="paragraph" w:styleId="3">
    <w:name w:val="Body Text First Indent 2"/>
    <w:basedOn w:val="2"/>
    <w:next w:val="4"/>
    <w:unhideWhenUsed/>
    <w:qFormat/>
    <w:uiPriority w:val="99"/>
    <w:pPr>
      <w:ind w:firstLine="420" w:firstLineChars="200"/>
    </w:pPr>
  </w:style>
  <w:style w:type="paragraph" w:styleId="4">
    <w:name w:val="Body Text First Indent"/>
    <w:basedOn w:val="5"/>
    <w:next w:val="6"/>
    <w:qFormat/>
    <w:uiPriority w:val="0"/>
    <w:pPr>
      <w:spacing w:line="312" w:lineRule="auto"/>
      <w:ind w:firstLine="420"/>
    </w:pPr>
  </w:style>
  <w:style w:type="paragraph" w:styleId="5">
    <w:name w:val="Body Text"/>
    <w:basedOn w:val="1"/>
    <w:next w:val="4"/>
    <w:qFormat/>
    <w:uiPriority w:val="0"/>
    <w:pPr>
      <w:spacing w:after="120"/>
    </w:pPr>
  </w:style>
  <w:style w:type="paragraph" w:styleId="6">
    <w:name w:val="toc 6"/>
    <w:basedOn w:val="1"/>
    <w:next w:val="1"/>
    <w:qFormat/>
    <w:uiPriority w:val="0"/>
    <w:pPr>
      <w:ind w:left="1050"/>
      <w:jc w:val="left"/>
    </w:pPr>
    <w:rPr>
      <w:rFonts w:ascii="Century Gothic" w:hAnsi="Century Gothic"/>
      <w:sz w:val="18"/>
      <w:szCs w:val="18"/>
    </w:rPr>
  </w:style>
  <w:style w:type="paragraph" w:styleId="13">
    <w:name w:val="List Number 2"/>
    <w:basedOn w:val="1"/>
    <w:semiHidden/>
    <w:unhideWhenUsed/>
    <w:qFormat/>
    <w:uiPriority w:val="0"/>
    <w:pPr>
      <w:numPr>
        <w:ilvl w:val="0"/>
        <w:numId w:val="3"/>
      </w:numPr>
    </w:pPr>
  </w:style>
  <w:style w:type="paragraph" w:styleId="14">
    <w:name w:val="table of authorities"/>
    <w:basedOn w:val="1"/>
    <w:next w:val="1"/>
    <w:qFormat/>
    <w:uiPriority w:val="0"/>
    <w:pPr>
      <w:ind w:left="420" w:leftChars="200"/>
    </w:pPr>
  </w:style>
  <w:style w:type="paragraph" w:styleId="15">
    <w:name w:val="Normal Indent"/>
    <w:basedOn w:val="1"/>
    <w:next w:val="1"/>
    <w:qFormat/>
    <w:uiPriority w:val="0"/>
    <w:pPr>
      <w:ind w:firstLine="420" w:firstLineChars="200"/>
    </w:pPr>
    <w:rPr>
      <w:rFonts w:ascii="Calibri" w:hAnsi="Calibri"/>
    </w:rPr>
  </w:style>
  <w:style w:type="paragraph" w:styleId="16">
    <w:name w:val="annotation text"/>
    <w:basedOn w:val="1"/>
    <w:link w:val="111"/>
    <w:unhideWhenUsed/>
    <w:qFormat/>
    <w:uiPriority w:val="99"/>
    <w:pPr>
      <w:jc w:val="left"/>
    </w:pPr>
  </w:style>
  <w:style w:type="paragraph" w:styleId="17">
    <w:name w:val="Plain Text"/>
    <w:basedOn w:val="1"/>
    <w:next w:val="18"/>
    <w:link w:val="63"/>
    <w:qFormat/>
    <w:uiPriority w:val="0"/>
    <w:rPr>
      <w:rFonts w:ascii="宋体" w:hAnsi="Courier New"/>
      <w:szCs w:val="20"/>
    </w:rPr>
  </w:style>
  <w:style w:type="paragraph" w:styleId="18">
    <w:name w:val="toc 2"/>
    <w:basedOn w:val="1"/>
    <w:next w:val="1"/>
    <w:qFormat/>
    <w:uiPriority w:val="0"/>
    <w:pPr>
      <w:ind w:left="420" w:leftChars="200"/>
    </w:pPr>
    <w:rPr>
      <w:rFonts w:eastAsia="宋体" w:cs="Times New Roman"/>
    </w:rPr>
  </w:style>
  <w:style w:type="paragraph" w:styleId="19">
    <w:name w:val="Date"/>
    <w:basedOn w:val="1"/>
    <w:next w:val="1"/>
    <w:qFormat/>
    <w:uiPriority w:val="0"/>
    <w:pPr>
      <w:ind w:left="100" w:leftChars="2500"/>
    </w:pPr>
    <w:rPr>
      <w:szCs w:val="20"/>
    </w:rPr>
  </w:style>
  <w:style w:type="paragraph" w:styleId="20">
    <w:name w:val="Body Text Indent 2"/>
    <w:basedOn w:val="1"/>
    <w:link w:val="64"/>
    <w:qFormat/>
    <w:uiPriority w:val="0"/>
    <w:pPr>
      <w:widowControl/>
      <w:spacing w:line="480" w:lineRule="atLeast"/>
      <w:ind w:firstLine="480"/>
    </w:pPr>
    <w:rPr>
      <w:rFonts w:ascii="宋体" w:hAnsi="Calibri"/>
      <w:kern w:val="0"/>
      <w:sz w:val="24"/>
      <w:szCs w:val="20"/>
    </w:rPr>
  </w:style>
  <w:style w:type="paragraph" w:styleId="21">
    <w:name w:val="Balloon Text"/>
    <w:basedOn w:val="1"/>
    <w:link w:val="65"/>
    <w:qFormat/>
    <w:uiPriority w:val="0"/>
    <w:rPr>
      <w:sz w:val="18"/>
      <w:szCs w:val="18"/>
    </w:rPr>
  </w:style>
  <w:style w:type="paragraph" w:styleId="22">
    <w:name w:val="footer"/>
    <w:basedOn w:val="1"/>
    <w:link w:val="62"/>
    <w:unhideWhenUsed/>
    <w:qFormat/>
    <w:uiPriority w:val="0"/>
    <w:pPr>
      <w:tabs>
        <w:tab w:val="center" w:pos="4153"/>
        <w:tab w:val="right" w:pos="8306"/>
      </w:tabs>
      <w:snapToGrid w:val="0"/>
      <w:jc w:val="left"/>
    </w:pPr>
    <w:rPr>
      <w:sz w:val="18"/>
      <w:szCs w:val="18"/>
    </w:rPr>
  </w:style>
  <w:style w:type="paragraph" w:styleId="23">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Century Gothic" w:hAnsi="Century Gothic"/>
      <w:b/>
      <w:bCs/>
      <w:caps/>
      <w:sz w:val="20"/>
      <w:szCs w:val="20"/>
    </w:rPr>
  </w:style>
  <w:style w:type="paragraph" w:styleId="25">
    <w:name w:val="footnote text"/>
    <w:basedOn w:val="1"/>
    <w:qFormat/>
    <w:uiPriority w:val="0"/>
    <w:pPr>
      <w:snapToGrid w:val="0"/>
      <w:jc w:val="left"/>
    </w:pPr>
    <w:rPr>
      <w:kern w:val="0"/>
      <w:sz w:val="18"/>
      <w:szCs w:val="18"/>
    </w:rPr>
  </w:style>
  <w:style w:type="paragraph" w:styleId="26">
    <w:name w:val="Body Text Indent 3"/>
    <w:basedOn w:val="1"/>
    <w:link w:val="66"/>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color w:val="000000"/>
      <w:sz w:val="24"/>
    </w:rPr>
  </w:style>
  <w:style w:type="paragraph" w:styleId="28">
    <w:name w:val="Normal (Web)"/>
    <w:basedOn w:val="1"/>
    <w:link w:val="108"/>
    <w:qFormat/>
    <w:uiPriority w:val="99"/>
    <w:pPr>
      <w:spacing w:beforeAutospacing="1" w:afterAutospacing="1"/>
      <w:jc w:val="left"/>
    </w:pPr>
    <w:rPr>
      <w:rFonts w:cs="Times New Roman"/>
      <w:kern w:val="0"/>
      <w:sz w:val="24"/>
    </w:rPr>
  </w:style>
  <w:style w:type="paragraph" w:styleId="29">
    <w:name w:val="Title"/>
    <w:basedOn w:val="1"/>
    <w:next w:val="1"/>
    <w:qFormat/>
    <w:uiPriority w:val="0"/>
    <w:pPr>
      <w:jc w:val="center"/>
      <w:outlineLvl w:val="0"/>
    </w:pPr>
    <w:rPr>
      <w:rFonts w:ascii="Cambria" w:hAnsi="Cambria"/>
      <w:b/>
      <w:bCs/>
      <w:kern w:val="0"/>
      <w:sz w:val="32"/>
      <w:szCs w:val="32"/>
    </w:rPr>
  </w:style>
  <w:style w:type="paragraph" w:styleId="30">
    <w:name w:val="annotation subject"/>
    <w:basedOn w:val="16"/>
    <w:next w:val="16"/>
    <w:link w:val="112"/>
    <w:semiHidden/>
    <w:unhideWhenUsed/>
    <w:qFormat/>
    <w:uiPriority w:val="0"/>
    <w:rPr>
      <w:b/>
      <w:bCs/>
    </w:rPr>
  </w:style>
  <w:style w:type="table" w:styleId="32">
    <w:name w:val="Table Grid"/>
    <w:basedOn w:val="3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style>
  <w:style w:type="character" w:styleId="35">
    <w:name w:val="page number"/>
    <w:basedOn w:val="33"/>
    <w:qFormat/>
    <w:uiPriority w:val="0"/>
  </w:style>
  <w:style w:type="character" w:styleId="36">
    <w:name w:val="FollowedHyperlink"/>
    <w:basedOn w:val="33"/>
    <w:qFormat/>
    <w:uiPriority w:val="0"/>
    <w:rPr>
      <w:color w:val="4A4A4A"/>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99"/>
    <w:rPr>
      <w:rFonts w:cs="Times New Roman"/>
      <w:color w:val="0000F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basedOn w:val="33"/>
    <w:semiHidden/>
    <w:unhideWhenUsed/>
    <w:qFormat/>
    <w:uiPriority w:val="0"/>
    <w:rPr>
      <w:sz w:val="21"/>
      <w:szCs w:val="21"/>
    </w:rPr>
  </w:style>
  <w:style w:type="character" w:styleId="45">
    <w:name w:val="HTML Cite"/>
    <w:basedOn w:val="33"/>
    <w:qFormat/>
    <w:uiPriority w:val="0"/>
  </w:style>
  <w:style w:type="character" w:styleId="46">
    <w:name w:val="footnote reference"/>
    <w:qFormat/>
    <w:uiPriority w:val="0"/>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样式 正文文本缩进 + 左  0 字符"/>
    <w:basedOn w:val="1"/>
    <w:qFormat/>
    <w:uiPriority w:val="0"/>
    <w:pPr>
      <w:spacing w:line="360" w:lineRule="auto"/>
      <w:ind w:firstLine="250" w:firstLineChars="250"/>
    </w:pPr>
    <w:rPr>
      <w:rFonts w:cs="宋体"/>
      <w:sz w:val="24"/>
    </w:rPr>
  </w:style>
  <w:style w:type="paragraph" w:customStyle="1" w:styleId="50">
    <w:name w:val="样式 表格正文 + 两端对齐"/>
    <w:basedOn w:val="1"/>
    <w:next w:val="51"/>
    <w:qFormat/>
    <w:uiPriority w:val="99"/>
    <w:pPr>
      <w:spacing w:line="300" w:lineRule="auto"/>
    </w:pPr>
    <w:rPr>
      <w:sz w:val="24"/>
    </w:rPr>
  </w:style>
  <w:style w:type="paragraph" w:customStyle="1" w:styleId="51">
    <w:name w:val="正文1"/>
    <w:next w:val="52"/>
    <w:qFormat/>
    <w:uiPriority w:val="0"/>
    <w:pPr>
      <w:jc w:val="both"/>
    </w:pPr>
    <w:rPr>
      <w:rFonts w:ascii="Calibri" w:hAnsi="Calibri" w:eastAsia="宋体" w:cs="宋体"/>
      <w:kern w:val="2"/>
      <w:sz w:val="21"/>
      <w:szCs w:val="21"/>
      <w:lang w:val="en-US" w:eastAsia="zh-CN" w:bidi="ar-SA"/>
    </w:rPr>
  </w:style>
  <w:style w:type="paragraph" w:customStyle="1" w:styleId="52">
    <w:name w:val="自动更正"/>
    <w:next w:val="53"/>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xl39"/>
    <w:basedOn w:val="1"/>
    <w:next w:val="54"/>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4">
    <w:name w:val="分手多日，近况如何？"/>
    <w:next w:val="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55">
    <w:name w:val="正文首行缩进2字符"/>
    <w:basedOn w:val="1"/>
    <w:qFormat/>
    <w:uiPriority w:val="0"/>
    <w:pPr>
      <w:widowControl/>
      <w:adjustRightInd w:val="0"/>
    </w:pPr>
  </w:style>
  <w:style w:type="paragraph" w:customStyle="1" w:styleId="56">
    <w:name w:val="表格文字"/>
    <w:basedOn w:val="17"/>
    <w:next w:val="5"/>
    <w:qFormat/>
    <w:uiPriority w:val="0"/>
    <w:pPr>
      <w:jc w:val="left"/>
      <w:textAlignment w:val="top"/>
    </w:pPr>
    <w:rPr>
      <w:rFonts w:ascii="仿宋_GB2312" w:hAnsi="Calibri" w:eastAsia="宋体" w:cs="宋体"/>
      <w:b/>
      <w:color w:val="000000"/>
      <w:kern w:val="0"/>
      <w:sz w:val="18"/>
      <w:szCs w:val="21"/>
    </w:rPr>
  </w:style>
  <w:style w:type="paragraph" w:customStyle="1" w:styleId="57">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Fließtext"/>
    <w:basedOn w:val="1"/>
    <w:qFormat/>
    <w:uiPriority w:val="0"/>
    <w:pPr>
      <w:overflowPunct w:val="0"/>
      <w:autoSpaceDE w:val="0"/>
      <w:autoSpaceDN w:val="0"/>
      <w:adjustRightInd w:val="0"/>
      <w:textAlignment w:val="baseline"/>
    </w:pPr>
    <w:rPr>
      <w:kern w:val="28"/>
    </w:rPr>
  </w:style>
  <w:style w:type="paragraph" w:customStyle="1" w:styleId="59">
    <w:name w:val="_Style 1"/>
    <w:qFormat/>
    <w:uiPriority w:val="99"/>
    <w:rPr>
      <w:rFonts w:ascii="Calibri" w:hAnsi="Calibri" w:eastAsia="宋体" w:cs="Times New Roman"/>
      <w:kern w:val="2"/>
      <w:sz w:val="28"/>
      <w:szCs w:val="22"/>
      <w:lang w:val="en-US" w:eastAsia="zh-CN" w:bidi="ar-SA"/>
    </w:rPr>
  </w:style>
  <w:style w:type="character" w:customStyle="1" w:styleId="60">
    <w:name w:val="标题 3 Char"/>
    <w:basedOn w:val="33"/>
    <w:link w:val="9"/>
    <w:qFormat/>
    <w:uiPriority w:val="0"/>
    <w:rPr>
      <w:rFonts w:eastAsiaTheme="minorEastAsia" w:cstheme="minorBidi"/>
      <w:b/>
      <w:bCs/>
      <w:kern w:val="2"/>
      <w:sz w:val="32"/>
      <w:szCs w:val="32"/>
    </w:rPr>
  </w:style>
  <w:style w:type="character" w:customStyle="1" w:styleId="61">
    <w:name w:val="页眉 Char"/>
    <w:basedOn w:val="33"/>
    <w:link w:val="23"/>
    <w:qFormat/>
    <w:uiPriority w:val="0"/>
    <w:rPr>
      <w:kern w:val="2"/>
      <w:sz w:val="18"/>
      <w:szCs w:val="18"/>
    </w:rPr>
  </w:style>
  <w:style w:type="character" w:customStyle="1" w:styleId="62">
    <w:name w:val="页脚 Char"/>
    <w:basedOn w:val="33"/>
    <w:link w:val="22"/>
    <w:qFormat/>
    <w:uiPriority w:val="0"/>
    <w:rPr>
      <w:kern w:val="2"/>
      <w:sz w:val="18"/>
      <w:szCs w:val="18"/>
    </w:rPr>
  </w:style>
  <w:style w:type="character" w:customStyle="1" w:styleId="63">
    <w:name w:val="纯文本 Char"/>
    <w:basedOn w:val="33"/>
    <w:link w:val="17"/>
    <w:qFormat/>
    <w:uiPriority w:val="0"/>
    <w:rPr>
      <w:rFonts w:ascii="宋体" w:hAnsi="Courier New" w:eastAsiaTheme="minorEastAsia" w:cstheme="minorBidi"/>
      <w:kern w:val="2"/>
      <w:sz w:val="21"/>
    </w:rPr>
  </w:style>
  <w:style w:type="character" w:customStyle="1" w:styleId="64">
    <w:name w:val="正文文本缩进 2 Char"/>
    <w:basedOn w:val="33"/>
    <w:link w:val="20"/>
    <w:qFormat/>
    <w:uiPriority w:val="0"/>
    <w:rPr>
      <w:rFonts w:ascii="宋体" w:hAnsi="Calibri" w:eastAsiaTheme="minorEastAsia" w:cstheme="minorBidi"/>
      <w:sz w:val="24"/>
    </w:rPr>
  </w:style>
  <w:style w:type="character" w:customStyle="1" w:styleId="65">
    <w:name w:val="批注框文本 Char"/>
    <w:basedOn w:val="33"/>
    <w:link w:val="21"/>
    <w:qFormat/>
    <w:uiPriority w:val="0"/>
    <w:rPr>
      <w:rFonts w:eastAsiaTheme="minorEastAsia" w:cstheme="minorBidi"/>
      <w:kern w:val="2"/>
      <w:sz w:val="18"/>
      <w:szCs w:val="18"/>
    </w:rPr>
  </w:style>
  <w:style w:type="character" w:customStyle="1" w:styleId="66">
    <w:name w:val="正文文本缩进 3 Char"/>
    <w:basedOn w:val="33"/>
    <w:link w:val="26"/>
    <w:qFormat/>
    <w:uiPriority w:val="0"/>
    <w:rPr>
      <w:rFonts w:ascii="Calibri" w:hAnsi="Calibri" w:eastAsia="黑体" w:cstheme="minorBidi"/>
      <w:color w:val="000000"/>
      <w:kern w:val="2"/>
      <w:sz w:val="24"/>
      <w:szCs w:val="24"/>
    </w:rPr>
  </w:style>
  <w:style w:type="paragraph" w:customStyle="1" w:styleId="6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8">
    <w:name w:val="样式 标题 3 + (中文) 黑体 小四 非加粗 段前: 7.8 磅 段后: 0 磅 行距: 固定值 20 磅"/>
    <w:basedOn w:val="9"/>
    <w:qFormat/>
    <w:uiPriority w:val="0"/>
    <w:pPr>
      <w:numPr>
        <w:ilvl w:val="0"/>
        <w:numId w:val="0"/>
      </w:numPr>
      <w:tabs>
        <w:tab w:val="clear" w:pos="720"/>
      </w:tabs>
      <w:spacing w:line="400" w:lineRule="exact"/>
    </w:pPr>
    <w:rPr>
      <w:rFonts w:eastAsia="黑体" w:cs="宋体"/>
      <w:b w:val="0"/>
      <w:bCs w:val="0"/>
      <w:sz w:val="24"/>
      <w:szCs w:val="20"/>
    </w:rPr>
  </w:style>
  <w:style w:type="paragraph" w:styleId="69">
    <w:name w:val="List Paragraph"/>
    <w:basedOn w:val="1"/>
    <w:unhideWhenUsed/>
    <w:qFormat/>
    <w:uiPriority w:val="99"/>
    <w:pPr>
      <w:ind w:firstLine="420" w:firstLineChars="200"/>
    </w:pPr>
  </w:style>
  <w:style w:type="paragraph" w:customStyle="1" w:styleId="70">
    <w:name w:val="表内文字"/>
    <w:basedOn w:val="1"/>
    <w:qFormat/>
    <w:uiPriority w:val="0"/>
    <w:pPr>
      <w:spacing w:line="500" w:lineRule="atLeast"/>
      <w:jc w:val="center"/>
    </w:pPr>
    <w:rPr>
      <w:rFonts w:ascii="Arial" w:hAnsi="Arial" w:eastAsia="楷体_GB2312" w:cs="Arial"/>
      <w:sz w:val="28"/>
    </w:rPr>
  </w:style>
  <w:style w:type="character" w:customStyle="1" w:styleId="71">
    <w:name w:val="纯文本 字符1"/>
    <w:basedOn w:val="33"/>
    <w:semiHidden/>
    <w:qFormat/>
    <w:locked/>
    <w:uiPriority w:val="0"/>
    <w:rPr>
      <w:rFonts w:ascii="宋体" w:hAnsi="Courier New" w:cs="Courier New"/>
      <w:szCs w:val="21"/>
    </w:rPr>
  </w:style>
  <w:style w:type="paragraph" w:customStyle="1" w:styleId="72">
    <w:name w:val="正文段"/>
    <w:basedOn w:val="1"/>
    <w:qFormat/>
    <w:uiPriority w:val="0"/>
    <w:pPr>
      <w:widowControl/>
      <w:snapToGrid w:val="0"/>
      <w:spacing w:after="156" w:afterLines="50"/>
      <w:ind w:firstLine="200" w:firstLineChars="200"/>
    </w:pPr>
    <w:rPr>
      <w:kern w:val="0"/>
      <w:sz w:val="24"/>
      <w:szCs w:val="20"/>
    </w:rPr>
  </w:style>
  <w:style w:type="character" w:customStyle="1" w:styleId="73">
    <w:name w:val="hover4"/>
    <w:basedOn w:val="33"/>
    <w:qFormat/>
    <w:uiPriority w:val="0"/>
    <w:rPr>
      <w:color w:val="999999"/>
    </w:rPr>
  </w:style>
  <w:style w:type="paragraph" w:customStyle="1" w:styleId="74">
    <w:name w:val="Body Text Indent 21"/>
    <w:basedOn w:val="1"/>
    <w:qFormat/>
    <w:uiPriority w:val="0"/>
    <w:pPr>
      <w:widowControl/>
      <w:spacing w:line="480" w:lineRule="atLeast"/>
      <w:ind w:firstLine="480"/>
    </w:pPr>
    <w:rPr>
      <w:rFonts w:ascii="宋体"/>
      <w:kern w:val="0"/>
      <w:sz w:val="24"/>
      <w:szCs w:val="20"/>
    </w:rPr>
  </w:style>
  <w:style w:type="paragraph" w:customStyle="1" w:styleId="75">
    <w:name w:val="Plain Text1"/>
    <w:basedOn w:val="1"/>
    <w:qFormat/>
    <w:uiPriority w:val="0"/>
    <w:rPr>
      <w:rFonts w:ascii="宋体" w:hAnsi="Courier New"/>
      <w:szCs w:val="20"/>
    </w:rPr>
  </w:style>
  <w:style w:type="paragraph" w:customStyle="1" w:styleId="76">
    <w:name w:val="正文2"/>
    <w:basedOn w:val="1"/>
    <w:qFormat/>
    <w:uiPriority w:val="0"/>
    <w:pPr>
      <w:spacing w:before="156" w:line="360" w:lineRule="auto"/>
      <w:ind w:firstLine="510" w:firstLineChars="200"/>
    </w:pPr>
    <w:rPr>
      <w:sz w:val="24"/>
      <w:szCs w:val="20"/>
    </w:rPr>
  </w:style>
  <w:style w:type="character" w:customStyle="1" w:styleId="77">
    <w:name w:val="font01"/>
    <w:basedOn w:val="33"/>
    <w:qFormat/>
    <w:uiPriority w:val="0"/>
    <w:rPr>
      <w:rFonts w:hint="eastAsia" w:ascii="宋体" w:hAnsi="宋体" w:eastAsia="宋体" w:cs="宋体"/>
      <w:color w:val="000000"/>
      <w:sz w:val="22"/>
      <w:szCs w:val="22"/>
      <w:u w:val="none"/>
    </w:rPr>
  </w:style>
  <w:style w:type="paragraph" w:customStyle="1" w:styleId="78">
    <w:name w:val="[Normal]"/>
    <w:qFormat/>
    <w:uiPriority w:val="0"/>
    <w:rPr>
      <w:rFonts w:ascii="宋体" w:hAnsi="宋体" w:eastAsia="Calibri" w:cs="Times New Roman"/>
      <w:sz w:val="24"/>
      <w:szCs w:val="22"/>
      <w:lang w:val="zh-CN" w:eastAsia="zh-CN" w:bidi="ar-SA"/>
    </w:rPr>
  </w:style>
  <w:style w:type="character" w:customStyle="1" w:styleId="79">
    <w:name w:val="font61"/>
    <w:basedOn w:val="33"/>
    <w:qFormat/>
    <w:uiPriority w:val="0"/>
    <w:rPr>
      <w:rFonts w:ascii="Arial" w:hAnsi="Arial" w:cs="Arial"/>
      <w:color w:val="000000"/>
      <w:sz w:val="20"/>
      <w:szCs w:val="20"/>
      <w:u w:val="none"/>
    </w:rPr>
  </w:style>
  <w:style w:type="character" w:customStyle="1" w:styleId="80">
    <w:name w:val="font11"/>
    <w:basedOn w:val="33"/>
    <w:qFormat/>
    <w:uiPriority w:val="0"/>
    <w:rPr>
      <w:rFonts w:hint="eastAsia" w:ascii="宋体" w:hAnsi="宋体" w:eastAsia="宋体" w:cs="宋体"/>
      <w:color w:val="000000"/>
      <w:sz w:val="20"/>
      <w:szCs w:val="20"/>
      <w:u w:val="none"/>
    </w:rPr>
  </w:style>
  <w:style w:type="paragraph" w:customStyle="1" w:styleId="81">
    <w:name w:val="纯文本1"/>
    <w:basedOn w:val="1"/>
    <w:qFormat/>
    <w:uiPriority w:val="0"/>
    <w:pPr>
      <w:adjustRightInd w:val="0"/>
      <w:textAlignment w:val="baseline"/>
    </w:pPr>
    <w:rPr>
      <w:rFonts w:ascii="宋体" w:hAnsi="Courier New" w:eastAsia="楷体_GB2312"/>
      <w:sz w:val="28"/>
    </w:rPr>
  </w:style>
  <w:style w:type="character" w:customStyle="1" w:styleId="82">
    <w:name w:val="font191"/>
    <w:basedOn w:val="33"/>
    <w:qFormat/>
    <w:uiPriority w:val="0"/>
    <w:rPr>
      <w:rFonts w:hint="eastAsia" w:ascii="宋体" w:hAnsi="宋体" w:eastAsia="宋体" w:cs="宋体"/>
      <w:color w:val="FF0000"/>
      <w:sz w:val="22"/>
      <w:szCs w:val="22"/>
      <w:u w:val="none"/>
    </w:rPr>
  </w:style>
  <w:style w:type="character" w:customStyle="1" w:styleId="83">
    <w:name w:val="font71"/>
    <w:basedOn w:val="33"/>
    <w:qFormat/>
    <w:uiPriority w:val="0"/>
    <w:rPr>
      <w:rFonts w:hint="eastAsia" w:ascii="宋体" w:hAnsi="宋体" w:eastAsia="宋体" w:cs="宋体"/>
      <w:color w:val="000000"/>
      <w:sz w:val="22"/>
      <w:szCs w:val="22"/>
      <w:u w:val="none"/>
    </w:rPr>
  </w:style>
  <w:style w:type="character" w:customStyle="1" w:styleId="84">
    <w:name w:val="font41"/>
    <w:basedOn w:val="33"/>
    <w:qFormat/>
    <w:uiPriority w:val="0"/>
    <w:rPr>
      <w:rFonts w:hint="eastAsia" w:ascii="宋体" w:hAnsi="宋体" w:eastAsia="宋体" w:cs="宋体"/>
      <w:color w:val="000000"/>
      <w:sz w:val="22"/>
      <w:szCs w:val="22"/>
      <w:u w:val="none"/>
    </w:rPr>
  </w:style>
  <w:style w:type="character" w:customStyle="1" w:styleId="85">
    <w:name w:val="font151"/>
    <w:basedOn w:val="33"/>
    <w:qFormat/>
    <w:uiPriority w:val="0"/>
    <w:rPr>
      <w:rFonts w:hint="eastAsia" w:ascii="宋体" w:hAnsi="宋体" w:eastAsia="宋体" w:cs="宋体"/>
      <w:color w:val="FF0000"/>
      <w:sz w:val="22"/>
      <w:szCs w:val="22"/>
      <w:u w:val="none"/>
    </w:rPr>
  </w:style>
  <w:style w:type="character" w:customStyle="1" w:styleId="86">
    <w:name w:val="font21"/>
    <w:basedOn w:val="33"/>
    <w:qFormat/>
    <w:uiPriority w:val="0"/>
    <w:rPr>
      <w:rFonts w:hint="eastAsia" w:ascii="宋体" w:hAnsi="宋体" w:eastAsia="宋体" w:cs="宋体"/>
      <w:color w:val="000000"/>
      <w:sz w:val="18"/>
      <w:szCs w:val="18"/>
      <w:u w:val="none"/>
    </w:rPr>
  </w:style>
  <w:style w:type="character" w:customStyle="1" w:styleId="87">
    <w:name w:val="font141"/>
    <w:basedOn w:val="33"/>
    <w:qFormat/>
    <w:uiPriority w:val="0"/>
    <w:rPr>
      <w:rFonts w:hint="eastAsia" w:ascii="宋体" w:hAnsi="宋体" w:eastAsia="宋体" w:cs="宋体"/>
      <w:color w:val="FF0000"/>
      <w:sz w:val="18"/>
      <w:szCs w:val="18"/>
      <w:u w:val="none"/>
    </w:rPr>
  </w:style>
  <w:style w:type="character" w:customStyle="1" w:styleId="88">
    <w:name w:val="font31"/>
    <w:basedOn w:val="33"/>
    <w:qFormat/>
    <w:uiPriority w:val="0"/>
    <w:rPr>
      <w:rFonts w:hint="eastAsia" w:ascii="宋体" w:hAnsi="宋体" w:eastAsia="宋体" w:cs="宋体"/>
      <w:color w:val="000000"/>
      <w:sz w:val="22"/>
      <w:szCs w:val="22"/>
      <w:u w:val="none"/>
    </w:rPr>
  </w:style>
  <w:style w:type="paragraph" w:customStyle="1" w:styleId="89">
    <w:name w:val="正文首行缩进 21"/>
    <w:basedOn w:val="90"/>
    <w:qFormat/>
    <w:uiPriority w:val="0"/>
    <w:pPr>
      <w:ind w:firstLine="420"/>
    </w:pPr>
    <w:rPr>
      <w:rFonts w:eastAsia="宋体" w:cs="宋体"/>
    </w:rPr>
  </w:style>
  <w:style w:type="paragraph" w:customStyle="1" w:styleId="90">
    <w:name w:val="正文文本缩进1"/>
    <w:basedOn w:val="1"/>
    <w:next w:val="1"/>
    <w:qFormat/>
    <w:uiPriority w:val="0"/>
    <w:pPr>
      <w:spacing w:after="120"/>
      <w:ind w:left="420" w:leftChars="200"/>
    </w:pPr>
    <w:rPr>
      <w:color w:val="000000"/>
      <w:szCs w:val="21"/>
    </w:rPr>
  </w:style>
  <w:style w:type="paragraph" w:customStyle="1" w:styleId="91">
    <w:name w:val="正文首行缩进 211"/>
    <w:basedOn w:val="1"/>
    <w:qFormat/>
    <w:uiPriority w:val="0"/>
    <w:pPr>
      <w:spacing w:after="120"/>
      <w:ind w:left="420" w:leftChars="200" w:firstLine="420"/>
    </w:pPr>
    <w:rPr>
      <w:rFonts w:cs="宋体"/>
      <w:color w:val="000000"/>
      <w:szCs w:val="21"/>
    </w:rPr>
  </w:style>
  <w:style w:type="character" w:customStyle="1" w:styleId="92">
    <w:name w:val="font51"/>
    <w:basedOn w:val="33"/>
    <w:qFormat/>
    <w:uiPriority w:val="0"/>
    <w:rPr>
      <w:rFonts w:ascii="宋体" w:hAnsi="宋体" w:eastAsia="宋体" w:cs="宋体"/>
      <w:color w:val="000000"/>
      <w:sz w:val="22"/>
      <w:szCs w:val="22"/>
      <w:u w:val="none"/>
    </w:rPr>
  </w:style>
  <w:style w:type="character" w:customStyle="1" w:styleId="93">
    <w:name w:val="font91"/>
    <w:basedOn w:val="33"/>
    <w:qFormat/>
    <w:uiPriority w:val="0"/>
    <w:rPr>
      <w:rFonts w:ascii="Arial" w:hAnsi="Arial" w:cs="Arial"/>
      <w:color w:val="000000"/>
      <w:sz w:val="22"/>
      <w:szCs w:val="22"/>
      <w:u w:val="none"/>
    </w:rPr>
  </w:style>
  <w:style w:type="paragraph" w:customStyle="1" w:styleId="94">
    <w:name w:val="一级"/>
    <w:basedOn w:val="1"/>
    <w:next w:val="1"/>
    <w:qFormat/>
    <w:uiPriority w:val="0"/>
    <w:pPr>
      <w:spacing w:before="360" w:after="360" w:line="400" w:lineRule="exact"/>
      <w:outlineLvl w:val="1"/>
    </w:pPr>
    <w:rPr>
      <w:rFonts w:eastAsia="黑体"/>
      <w:sz w:val="28"/>
      <w:szCs w:val="22"/>
    </w:rPr>
  </w:style>
  <w:style w:type="paragraph" w:customStyle="1" w:styleId="95">
    <w:name w:val="正文空格"/>
    <w:basedOn w:val="1"/>
    <w:next w:val="1"/>
    <w:qFormat/>
    <w:uiPriority w:val="0"/>
    <w:pPr>
      <w:spacing w:line="400" w:lineRule="exact"/>
      <w:ind w:firstLine="200" w:firstLineChars="200"/>
    </w:pPr>
    <w:rPr>
      <w:sz w:val="24"/>
      <w:szCs w:val="22"/>
    </w:rPr>
  </w:style>
  <w:style w:type="paragraph" w:customStyle="1" w:styleId="96">
    <w:name w:val="图片"/>
    <w:basedOn w:val="1"/>
    <w:qFormat/>
    <w:uiPriority w:val="0"/>
    <w:pPr>
      <w:spacing w:line="360" w:lineRule="auto"/>
      <w:jc w:val="center"/>
    </w:pPr>
    <w:rPr>
      <w:rFonts w:eastAsia="宋体" w:asciiTheme="minorEastAsia" w:hAnsiTheme="minorEastAsia"/>
      <w:sz w:val="24"/>
    </w:rPr>
  </w:style>
  <w:style w:type="paragraph" w:customStyle="1" w:styleId="97">
    <w:name w:val="图片标题"/>
    <w:basedOn w:val="98"/>
    <w:qFormat/>
    <w:uiPriority w:val="0"/>
    <w:pPr>
      <w:numPr>
        <w:ilvl w:val="0"/>
        <w:numId w:val="4"/>
      </w:numPr>
      <w:spacing w:line="360" w:lineRule="auto"/>
      <w:jc w:val="center"/>
    </w:pPr>
    <w:rPr>
      <w:rFonts w:eastAsia="黑体"/>
      <w:b/>
    </w:rPr>
  </w:style>
  <w:style w:type="paragraph" w:customStyle="1" w:styleId="98">
    <w:name w:val="表格"/>
    <w:basedOn w:val="1"/>
    <w:qFormat/>
    <w:uiPriority w:val="0"/>
    <w:rPr>
      <w:rFonts w:asciiTheme="minorEastAsia" w:hAnsiTheme="minorEastAsia"/>
      <w:szCs w:val="22"/>
    </w:rPr>
  </w:style>
  <w:style w:type="paragraph" w:customStyle="1" w:styleId="99">
    <w:name w:val="列表格式"/>
    <w:basedOn w:val="13"/>
    <w:qFormat/>
    <w:uiPriority w:val="0"/>
    <w:pPr>
      <w:numPr>
        <w:numId w:val="0"/>
      </w:numPr>
      <w:tabs>
        <w:tab w:val="left" w:pos="360"/>
      </w:tabs>
      <w:spacing w:line="360" w:lineRule="auto"/>
      <w:jc w:val="left"/>
    </w:pPr>
    <w:rPr>
      <w:rFonts w:eastAsia="宋体" w:cs="Times New Roman"/>
      <w:sz w:val="24"/>
    </w:rPr>
  </w:style>
  <w:style w:type="paragraph" w:customStyle="1" w:styleId="100">
    <w:name w:val="表格标题"/>
    <w:basedOn w:val="1"/>
    <w:qFormat/>
    <w:uiPriority w:val="0"/>
    <w:pPr>
      <w:numPr>
        <w:ilvl w:val="0"/>
        <w:numId w:val="5"/>
      </w:numPr>
      <w:ind w:left="0" w:firstLine="0"/>
      <w:jc w:val="center"/>
    </w:pPr>
    <w:rPr>
      <w:rFonts w:ascii="宋体" w:hAnsi="宋体" w:eastAsia="黑体" w:cs="Times New Roman"/>
      <w:b/>
    </w:rPr>
  </w:style>
  <w:style w:type="paragraph" w:customStyle="1" w:styleId="101">
    <w:name w:val="表格表头"/>
    <w:basedOn w:val="1"/>
    <w:qFormat/>
    <w:uiPriority w:val="0"/>
    <w:pPr>
      <w:jc w:val="center"/>
    </w:pPr>
    <w:rPr>
      <w:rFonts w:ascii="宋体" w:hAnsi="宋体" w:eastAsia="黑体" w:cs="Times New Roman"/>
    </w:rPr>
  </w:style>
  <w:style w:type="paragraph" w:customStyle="1" w:styleId="102">
    <w:name w:val="表格正文"/>
    <w:basedOn w:val="1"/>
    <w:qFormat/>
    <w:uiPriority w:val="0"/>
    <w:pPr>
      <w:jc w:val="left"/>
    </w:pPr>
    <w:rPr>
      <w:rFonts w:ascii="Arial" w:hAnsi="Arial" w:cs="宋体"/>
      <w:szCs w:val="20"/>
    </w:rPr>
  </w:style>
  <w:style w:type="paragraph" w:styleId="103">
    <w:name w:val="No Spacing"/>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104">
    <w:name w:val="表格内容"/>
    <w:basedOn w:val="1"/>
    <w:qFormat/>
    <w:uiPriority w:val="2"/>
    <w:pPr>
      <w:jc w:val="center"/>
    </w:pPr>
  </w:style>
  <w:style w:type="character" w:customStyle="1" w:styleId="105">
    <w:name w:val="标题 1 Char Char"/>
    <w:qFormat/>
    <w:uiPriority w:val="0"/>
    <w:rPr>
      <w:rFonts w:eastAsia="宋体"/>
      <w:b/>
      <w:spacing w:val="-2"/>
      <w:sz w:val="24"/>
      <w:lang w:val="en-US" w:eastAsia="zh-CN" w:bidi="ar-SA"/>
    </w:rPr>
  </w:style>
  <w:style w:type="paragraph" w:customStyle="1" w:styleId="106">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07">
    <w:name w:val="_Style 228"/>
    <w:basedOn w:val="1"/>
    <w:next w:val="1"/>
    <w:qFormat/>
    <w:uiPriority w:val="34"/>
    <w:pPr>
      <w:widowControl/>
      <w:spacing w:before="100" w:beforeAutospacing="1" w:after="100" w:afterAutospacing="1"/>
      <w:jc w:val="left"/>
    </w:pPr>
    <w:rPr>
      <w:rFonts w:ascii="等线" w:hAnsi="等线" w:eastAsia="Times New Roman"/>
      <w:kern w:val="0"/>
      <w:sz w:val="24"/>
    </w:rPr>
  </w:style>
  <w:style w:type="character" w:customStyle="1" w:styleId="108">
    <w:name w:val="普通(网站) Char"/>
    <w:link w:val="28"/>
    <w:qFormat/>
    <w:locked/>
    <w:uiPriority w:val="0"/>
    <w:rPr>
      <w:rFonts w:cs="Times New Roman"/>
      <w:kern w:val="0"/>
      <w:sz w:val="24"/>
    </w:rPr>
  </w:style>
  <w:style w:type="character" w:customStyle="1" w:styleId="109">
    <w:name w:val="16"/>
    <w:qFormat/>
    <w:uiPriority w:val="0"/>
    <w:rPr>
      <w:rFonts w:hint="default" w:ascii="Arial Unicode MS" w:hAnsi="Arial Unicode MS" w:eastAsia="Arial Unicode MS" w:cs="Arial Unicode MS"/>
      <w:sz w:val="24"/>
      <w:szCs w:val="24"/>
    </w:rPr>
  </w:style>
  <w:style w:type="paragraph" w:customStyle="1" w:styleId="110">
    <w:name w:val="p0"/>
    <w:basedOn w:val="1"/>
    <w:qFormat/>
    <w:uiPriority w:val="0"/>
    <w:pPr>
      <w:widowControl/>
      <w:spacing w:line="360" w:lineRule="atLeast"/>
    </w:pPr>
    <w:rPr>
      <w:kern w:val="0"/>
      <w:szCs w:val="21"/>
    </w:rPr>
  </w:style>
  <w:style w:type="character" w:customStyle="1" w:styleId="111">
    <w:name w:val="批注文字 Char"/>
    <w:basedOn w:val="33"/>
    <w:link w:val="16"/>
    <w:qFormat/>
    <w:uiPriority w:val="99"/>
    <w:rPr>
      <w:rFonts w:eastAsiaTheme="minorEastAsia" w:cstheme="minorBidi"/>
      <w:kern w:val="2"/>
      <w:sz w:val="21"/>
      <w:szCs w:val="24"/>
    </w:rPr>
  </w:style>
  <w:style w:type="character" w:customStyle="1" w:styleId="112">
    <w:name w:val="批注主题 Char"/>
    <w:basedOn w:val="111"/>
    <w:link w:val="30"/>
    <w:semiHidden/>
    <w:qFormat/>
    <w:uiPriority w:val="0"/>
    <w:rPr>
      <w:rFonts w:eastAsiaTheme="minorEastAsia" w:cstheme="minorBidi"/>
      <w:b/>
      <w:bCs/>
      <w:kern w:val="2"/>
      <w:sz w:val="21"/>
      <w:szCs w:val="24"/>
    </w:rPr>
  </w:style>
  <w:style w:type="character" w:customStyle="1" w:styleId="113">
    <w:name w:val="unnamed51"/>
    <w:qFormat/>
    <w:uiPriority w:val="0"/>
    <w:rPr>
      <w:sz w:val="22"/>
      <w:szCs w:val="22"/>
    </w:rPr>
  </w:style>
  <w:style w:type="table" w:customStyle="1" w:styleId="114">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6">
    <w:name w:val="中等深浅网格 1 - 强调文字颜色 21"/>
    <w:basedOn w:val="1"/>
    <w:qFormat/>
    <w:uiPriority w:val="34"/>
    <w:pPr>
      <w:ind w:firstLine="420" w:firstLineChars="200"/>
    </w:pPr>
  </w:style>
  <w:style w:type="paragraph" w:customStyle="1" w:styleId="117">
    <w:name w:val="Normal Indent1"/>
    <w:basedOn w:val="1"/>
    <w:qFormat/>
    <w:uiPriority w:val="0"/>
    <w:pPr>
      <w:ind w:firstLine="420"/>
    </w:pPr>
  </w:style>
  <w:style w:type="paragraph" w:customStyle="1" w:styleId="118">
    <w:name w:val="签发人"/>
    <w:basedOn w:val="1"/>
    <w:qFormat/>
    <w:uiPriority w:val="0"/>
    <w:rPr>
      <w:rFonts w:eastAsia="楷体"/>
      <w:sz w:val="32"/>
    </w:rPr>
  </w:style>
  <w:style w:type="paragraph" w:customStyle="1" w:styleId="119">
    <w:name w:val="首行缩进"/>
    <w:qFormat/>
    <w:uiPriority w:val="0"/>
    <w:pPr>
      <w:tabs>
        <w:tab w:val="left" w:pos="822"/>
      </w:tabs>
      <w:snapToGrid w:val="0"/>
      <w:spacing w:before="40" w:after="40" w:line="300" w:lineRule="atLeast"/>
      <w:ind w:left="1701"/>
      <w:jc w:val="both"/>
    </w:pPr>
    <w:rPr>
      <w:rFonts w:ascii="Arial" w:hAnsi="Arial" w:eastAsia="宋体" w:cs="Times New Roman"/>
      <w:sz w:val="34"/>
      <w:lang w:val="en-US" w:eastAsia="zh-CN" w:bidi="ar-SA"/>
    </w:rPr>
  </w:style>
  <w:style w:type="paragraph" w:customStyle="1" w:styleId="120">
    <w:name w:val="p1"/>
    <w:basedOn w:val="1"/>
    <w:qFormat/>
    <w:uiPriority w:val="0"/>
    <w:pPr>
      <w:jc w:val="left"/>
    </w:pPr>
    <w:rPr>
      <w:rFonts w:ascii="pingfang sc" w:hAnsi="pingfang sc" w:eastAsia="pingfang sc" w:cs="Times New Roman"/>
      <w:kern w:val="0"/>
      <w:sz w:val="26"/>
      <w:szCs w:val="26"/>
    </w:rPr>
  </w:style>
  <w:style w:type="paragraph" w:customStyle="1" w:styleId="121">
    <w:name w:val="BZ_正文"/>
    <w:basedOn w:val="1"/>
    <w:qFormat/>
    <w:uiPriority w:val="0"/>
    <w:pPr>
      <w:widowControl/>
      <w:spacing w:line="360" w:lineRule="auto"/>
      <w:ind w:firstLine="200" w:firstLineChars="200"/>
    </w:pPr>
    <w:rPr>
      <w:sz w:val="24"/>
    </w:rPr>
  </w:style>
  <w:style w:type="paragraph" w:customStyle="1" w:styleId="122">
    <w:name w:val="BZ_二级标题"/>
    <w:basedOn w:val="8"/>
    <w:next w:val="1"/>
    <w:qFormat/>
    <w:uiPriority w:val="0"/>
    <w:pPr>
      <w:widowControl/>
      <w:spacing w:beforeLines="50" w:afterLines="50" w:line="240" w:lineRule="auto"/>
      <w:ind w:left="1278" w:hanging="432"/>
    </w:pPr>
    <w:rPr>
      <w:rFonts w:eastAsia="楷体"/>
    </w:rPr>
  </w:style>
  <w:style w:type="paragraph" w:customStyle="1" w:styleId="123">
    <w:name w:val="BZ_四级标题"/>
    <w:basedOn w:val="10"/>
    <w:next w:val="121"/>
    <w:qFormat/>
    <w:uiPriority w:val="0"/>
    <w:pPr>
      <w:numPr>
        <w:ilvl w:val="0"/>
        <w:numId w:val="6"/>
      </w:numPr>
      <w:spacing w:line="240" w:lineRule="auto"/>
      <w:ind w:left="0" w:firstLine="0"/>
      <w:jc w:val="left"/>
    </w:pPr>
    <w:rPr>
      <w:rFonts w:ascii="楷体" w:hAnsi="楷体"/>
    </w:rPr>
  </w:style>
  <w:style w:type="paragraph" w:customStyle="1" w:styleId="124">
    <w:name w:val="Other|1"/>
    <w:basedOn w:val="1"/>
    <w:qFormat/>
    <w:uiPriority w:val="0"/>
    <w:pPr>
      <w:ind w:firstLine="160"/>
    </w:pPr>
    <w:rPr>
      <w:rFonts w:ascii="宋体" w:hAnsi="宋体" w:eastAsia="宋体" w:cs="宋体"/>
      <w:sz w:val="20"/>
      <w:szCs w:val="20"/>
      <w:lang w:val="zh-TW" w:eastAsia="zh-TW" w:bidi="zh-TW"/>
    </w:rPr>
  </w:style>
  <w:style w:type="paragraph" w:customStyle="1" w:styleId="125">
    <w:name w:val="修订1"/>
    <w:hidden/>
    <w:unhideWhenUsed/>
    <w:qFormat/>
    <w:uiPriority w:val="99"/>
    <w:rPr>
      <w:rFonts w:ascii="Times New Roman" w:hAnsi="Times New Roman" w:eastAsiaTheme="minorEastAsia" w:cstheme="minorBidi"/>
      <w:kern w:val="2"/>
      <w:sz w:val="21"/>
      <w:szCs w:val="24"/>
      <w:lang w:val="en-US" w:eastAsia="zh-CN" w:bidi="ar-SA"/>
    </w:rPr>
  </w:style>
  <w:style w:type="paragraph" w:customStyle="1" w:styleId="126">
    <w:name w:val="修订2"/>
    <w:hidden/>
    <w:unhideWhenUsed/>
    <w:qFormat/>
    <w:uiPriority w:val="99"/>
    <w:rPr>
      <w:rFonts w:ascii="Times New Roman" w:hAnsi="Times New Roman"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Document1.doc"/><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49</Pages>
  <Words>11467</Words>
  <Characters>12440</Characters>
  <Lines>267</Lines>
  <Paragraphs>75</Paragraphs>
  <TotalTime>18</TotalTime>
  <ScaleCrop>false</ScaleCrop>
  <LinksUpToDate>false</LinksUpToDate>
  <CharactersWithSpaces>12506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2019-03-28T07:01:00Z</dcterms:created>
  <dc:creator>NTKO</dc:creator>
  <cp:lastModifiedBy>陶芳芳</cp:lastModifiedBy>
  <cp:lastPrinted>2024-03-25T08:28:00Z</cp:lastPrinted>
  <dcterms:modified xsi:type="dcterms:W3CDTF">2025-12-01T08:10:15Z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86A5576BA4F54B4C8114BD6ABFAAABD4_13</vt:lpwstr>
  </property>
  <property fmtid="{D5CDD505-2E9C-101B-9397-08002B2CF9AE}" pid="4" name="KSOTemplateDocerSaveRecord">
    <vt:lpwstr>eyJoZGlkIjoiYTBlN2IwM2I4ZDg0N2NjMWE2ZTZjOGQzMDVlOTlkZDIiLCJ1c2VySWQiOiIxNzMzNDQzNCJ9</vt:lpwstr>
  </property>
</Properties>
</file>